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7C509" w14:textId="0D8C7B89" w:rsidR="008E7C3B" w:rsidRPr="00484023" w:rsidRDefault="008E7C3B">
      <w:pPr>
        <w:rPr>
          <w:rFonts w:ascii="Arial" w:hAnsi="Arial" w:cs="Arial"/>
          <w:sz w:val="22"/>
          <w:szCs w:val="22"/>
        </w:rPr>
      </w:pPr>
      <w:bookmarkStart w:id="0" w:name="_Hlk61261686"/>
      <w:bookmarkEnd w:id="0"/>
    </w:p>
    <w:p w14:paraId="616BEE11" w14:textId="0498DDF8" w:rsidR="00BF6BDE" w:rsidRPr="00484023" w:rsidRDefault="00BF6BDE">
      <w:pPr>
        <w:rPr>
          <w:rFonts w:ascii="Arial" w:hAnsi="Arial" w:cs="Arial"/>
          <w:sz w:val="22"/>
          <w:szCs w:val="22"/>
        </w:rPr>
      </w:pPr>
    </w:p>
    <w:p w14:paraId="778813C2" w14:textId="3A6B012C" w:rsidR="00BF6BDE" w:rsidRPr="00484023" w:rsidRDefault="00BF6BDE">
      <w:pPr>
        <w:rPr>
          <w:rFonts w:ascii="Arial" w:hAnsi="Arial" w:cs="Arial"/>
          <w:sz w:val="22"/>
          <w:szCs w:val="22"/>
        </w:rPr>
      </w:pPr>
    </w:p>
    <w:p w14:paraId="3618CD07" w14:textId="707E496D" w:rsidR="00BF6BDE" w:rsidRPr="00484023" w:rsidRDefault="00BF6BDE">
      <w:pPr>
        <w:rPr>
          <w:rFonts w:ascii="Arial" w:hAnsi="Arial" w:cs="Arial"/>
          <w:sz w:val="22"/>
          <w:szCs w:val="22"/>
        </w:rPr>
      </w:pPr>
    </w:p>
    <w:p w14:paraId="37D3CA2B" w14:textId="7913C284" w:rsidR="00BF6BDE" w:rsidRPr="00484023" w:rsidRDefault="00BF6BDE">
      <w:pPr>
        <w:rPr>
          <w:rFonts w:ascii="Arial" w:hAnsi="Arial" w:cs="Arial"/>
          <w:sz w:val="22"/>
          <w:szCs w:val="22"/>
        </w:rPr>
      </w:pPr>
    </w:p>
    <w:p w14:paraId="6559CA05" w14:textId="77777777" w:rsidR="00D54F87" w:rsidRPr="008751F5" w:rsidRDefault="00D54F87" w:rsidP="00C324FF">
      <w:pPr>
        <w:rPr>
          <w:rFonts w:ascii="Arial" w:hAnsi="Arial" w:cs="Arial"/>
          <w:b/>
          <w:bCs/>
          <w:color w:val="B59F5D"/>
          <w:sz w:val="32"/>
          <w:szCs w:val="32"/>
        </w:rPr>
      </w:pPr>
    </w:p>
    <w:p w14:paraId="4610EC17" w14:textId="77777777" w:rsidR="00763091" w:rsidRPr="008751F5" w:rsidRDefault="00763091" w:rsidP="00C324FF">
      <w:pPr>
        <w:rPr>
          <w:rFonts w:ascii="Arial" w:hAnsi="Arial" w:cs="Arial"/>
          <w:b/>
          <w:bCs/>
          <w:color w:val="B59F5D"/>
          <w:sz w:val="28"/>
          <w:szCs w:val="28"/>
        </w:rPr>
      </w:pPr>
    </w:p>
    <w:p w14:paraId="290A2DA5" w14:textId="77777777" w:rsidR="005C74FC" w:rsidRPr="005C74FC" w:rsidRDefault="005C74FC" w:rsidP="005C74FC">
      <w:pPr>
        <w:suppressAutoHyphens/>
        <w:autoSpaceDE w:val="0"/>
        <w:autoSpaceDN w:val="0"/>
        <w:adjustRightInd w:val="0"/>
        <w:textAlignment w:val="center"/>
        <w:rPr>
          <w:rFonts w:ascii="Arial" w:hAnsi="Arial" w:cs="Arial"/>
          <w:b/>
          <w:bCs/>
          <w:color w:val="B59F5D"/>
          <w:sz w:val="40"/>
          <w:szCs w:val="40"/>
        </w:rPr>
      </w:pPr>
      <w:r w:rsidRPr="005C74FC">
        <w:rPr>
          <w:rFonts w:ascii="Arial" w:hAnsi="Arial" w:cs="Arial"/>
          <w:b/>
          <w:bCs/>
          <w:color w:val="B59F5D"/>
          <w:sz w:val="40"/>
          <w:szCs w:val="40"/>
        </w:rPr>
        <w:t xml:space="preserve">Conversations about Functionality, Policy, Payment and the Future </w:t>
      </w:r>
    </w:p>
    <w:p w14:paraId="6DAB7F59" w14:textId="77777777" w:rsidR="00A65A09" w:rsidRPr="00763091" w:rsidRDefault="00A65A09" w:rsidP="00D54F87">
      <w:pPr>
        <w:suppressAutoHyphens/>
        <w:autoSpaceDE w:val="0"/>
        <w:autoSpaceDN w:val="0"/>
        <w:adjustRightInd w:val="0"/>
        <w:textAlignment w:val="center"/>
        <w:rPr>
          <w:rFonts w:ascii="Arial" w:hAnsi="Arial" w:cs="Arial"/>
          <w:b/>
          <w:bCs/>
          <w:color w:val="000063"/>
          <w:sz w:val="20"/>
          <w:szCs w:val="20"/>
        </w:rPr>
      </w:pPr>
    </w:p>
    <w:p w14:paraId="30534FB3" w14:textId="2587A6D3" w:rsidR="00BF6BDE" w:rsidRPr="005159F5" w:rsidRDefault="00BF6BDE" w:rsidP="00BF6BDE">
      <w:pPr>
        <w:suppressAutoHyphens/>
        <w:autoSpaceDE w:val="0"/>
        <w:autoSpaceDN w:val="0"/>
        <w:adjustRightInd w:val="0"/>
        <w:spacing w:after="90"/>
        <w:textAlignment w:val="center"/>
        <w:rPr>
          <w:rFonts w:ascii="Arial" w:hAnsi="Arial" w:cs="Arial"/>
          <w:b/>
          <w:bCs/>
          <w:color w:val="000063"/>
          <w:sz w:val="28"/>
          <w:szCs w:val="28"/>
        </w:rPr>
      </w:pPr>
      <w:r w:rsidRPr="005159F5">
        <w:rPr>
          <w:rFonts w:ascii="Arial" w:hAnsi="Arial" w:cs="Arial"/>
          <w:b/>
          <w:bCs/>
          <w:color w:val="000063"/>
          <w:sz w:val="28"/>
          <w:szCs w:val="28"/>
        </w:rPr>
        <w:t>Problem</w:t>
      </w:r>
    </w:p>
    <w:p w14:paraId="2F9F3FA1" w14:textId="77777777" w:rsidR="00063CA9" w:rsidRDefault="005C74FC" w:rsidP="00063CA9">
      <w:pPr>
        <w:suppressAutoHyphens/>
        <w:autoSpaceDE w:val="0"/>
        <w:autoSpaceDN w:val="0"/>
        <w:adjustRightInd w:val="0"/>
        <w:spacing w:after="90" w:line="276" w:lineRule="auto"/>
        <w:textAlignment w:val="center"/>
        <w:rPr>
          <w:rFonts w:ascii="Arial" w:eastAsiaTheme="minorHAnsi" w:hAnsi="Arial" w:cs="Arial"/>
          <w:color w:val="000000"/>
          <w:sz w:val="22"/>
          <w:szCs w:val="22"/>
        </w:rPr>
      </w:pPr>
      <w:r w:rsidRPr="005C74FC">
        <w:rPr>
          <w:rFonts w:ascii="Arial" w:eastAsiaTheme="minorHAnsi" w:hAnsi="Arial" w:cs="Arial"/>
          <w:color w:val="000000"/>
          <w:sz w:val="22"/>
          <w:szCs w:val="22"/>
        </w:rPr>
        <w:t>The COVID-19 pandemic has provided many patients with their first opportunity to experience the use of telehealth for diagnosis (telediagnosis).  The safety, the convenience, and the novelty of telehealth have been convincing selling points, and with so many clear advantages, telehealth seems well on its way to becoming ‘the new normal’.</w:t>
      </w:r>
      <w:r w:rsidRPr="005C74FC">
        <w:rPr>
          <w:rFonts w:ascii="Arial" w:eastAsiaTheme="minorHAnsi" w:hAnsi="Arial" w:cs="Arial"/>
          <w:color w:val="000000"/>
          <w:sz w:val="22"/>
          <w:szCs w:val="22"/>
        </w:rPr>
        <w:fldChar w:fldCharType="begin"/>
      </w:r>
      <w:r w:rsidRPr="005C74FC">
        <w:rPr>
          <w:rFonts w:ascii="Arial" w:eastAsiaTheme="minorHAnsi" w:hAnsi="Arial" w:cs="Arial"/>
          <w:color w:val="000000"/>
          <w:sz w:val="22"/>
          <w:szCs w:val="22"/>
        </w:rPr>
        <w:instrText xml:space="preserve"> ADDIN EN.CITE &lt;EndNote&gt;&lt;Cite&gt;&lt;Author&gt;Marin&lt;/Author&gt;&lt;Year&gt;2020&lt;/Year&gt;&lt;RecNum&gt;2987&lt;/RecNum&gt;&lt;DisplayText&gt;(1, 2)&lt;/DisplayText&gt;&lt;record&gt;&lt;rec-number&gt;2987&lt;/rec-number&gt;&lt;foreign-keys&gt;&lt;key app="EN" db-id="zxxw0sde925ewfefpawpd2t79s9rs20pp0es" timestamp="1621384125"&gt;2987&lt;/key&gt;&lt;/foreign-keys&gt;&lt;ref-type name="Journal Article"&gt;17&lt;/ref-type&gt;&lt;contributors&gt;&lt;authors&gt;&lt;author&gt;Marin, A&lt;/author&gt;&lt;/authors&gt;&lt;/contributors&gt;&lt;titles&gt;&lt;title&gt;Telemedicine takes center stage in the era of COVID-19&lt;/title&gt;&lt;secondary-title&gt;Science&lt;/secondary-title&gt;&lt;/titles&gt;&lt;periodical&gt;&lt;full-title&gt;Science&lt;/full-title&gt;&lt;/periodical&gt;&lt;volume&gt;https://www.sciencemag.org/features/2020/11/telemedicine-takes-center-stage-era-covid-19&lt;/volume&gt;&lt;dates&gt;&lt;year&gt;2020&lt;/year&gt;&lt;/dates&gt;&lt;urls&gt;&lt;/urls&gt;&lt;/record&gt;&lt;/Cite&gt;&lt;Cite&gt;&lt;Author&gt;Maheshwari&lt;/Author&gt;&lt;Year&gt;2020&lt;/Year&gt;&lt;RecNum&gt;2988&lt;/RecNum&gt;&lt;record&gt;&lt;rec-number&gt;2988&lt;/rec-number&gt;&lt;foreign-keys&gt;&lt;key app="EN" db-id="zxxw0sde925ewfefpawpd2t79s9rs20pp0es" timestamp="1621384602"&gt;2988&lt;/key&gt;&lt;/foreign-keys&gt;&lt;ref-type name="Journal Article"&gt;17&lt;/ref-type&gt;&lt;contributors&gt;&lt;authors&gt;&lt;author&gt;Maheshwari, P&lt;/author&gt;&lt;/authors&gt;&lt;/contributors&gt;&lt;titles&gt;&lt;title&gt;Our New Normal: The Rise In Telemedicine Adoption And Its Role After The Pandemic&lt;/title&gt;&lt;secondary-title&gt;Forbes&lt;/secondary-title&gt;&lt;/titles&gt;&lt;periodical&gt;&lt;full-title&gt;Forbes&lt;/full-title&gt;&lt;/periodical&gt;&lt;volume&gt;Available at:  https://www.forbes.com/sites/forbestechcouncil/2020/09/02/our-new-normal-the-rise-in-telemedicine-adoption-and-its-role-after-the-pandemic/?sh=6cfcdb8932c0&lt;/volume&gt;&lt;dates&gt;&lt;year&gt;2020&lt;/year&gt;&lt;/dates&gt;&lt;urls&gt;&lt;/urls&gt;&lt;/record&gt;&lt;/Cite&gt;&lt;/EndNote&gt;</w:instrText>
      </w:r>
      <w:r w:rsidRPr="005C74FC">
        <w:rPr>
          <w:rFonts w:ascii="Arial" w:eastAsiaTheme="minorHAnsi" w:hAnsi="Arial" w:cs="Arial"/>
          <w:color w:val="000000"/>
          <w:sz w:val="22"/>
          <w:szCs w:val="22"/>
        </w:rPr>
        <w:fldChar w:fldCharType="separate"/>
      </w:r>
      <w:r w:rsidRPr="005C74FC">
        <w:rPr>
          <w:rFonts w:ascii="Arial" w:eastAsiaTheme="minorHAnsi" w:hAnsi="Arial" w:cs="Arial"/>
          <w:color w:val="000000"/>
          <w:sz w:val="22"/>
          <w:szCs w:val="22"/>
        </w:rPr>
        <w:t>(1, 2)</w:t>
      </w:r>
      <w:r w:rsidRPr="005C74FC">
        <w:rPr>
          <w:rFonts w:ascii="Arial" w:eastAsiaTheme="minorHAnsi" w:hAnsi="Arial" w:cs="Arial"/>
          <w:color w:val="000000"/>
          <w:sz w:val="22"/>
          <w:szCs w:val="22"/>
        </w:rPr>
        <w:fldChar w:fldCharType="end"/>
      </w:r>
      <w:r w:rsidRPr="005C74FC">
        <w:rPr>
          <w:rFonts w:ascii="Arial" w:eastAsiaTheme="minorHAnsi" w:hAnsi="Arial" w:cs="Arial"/>
          <w:color w:val="000000"/>
          <w:sz w:val="22"/>
          <w:szCs w:val="22"/>
        </w:rPr>
        <w:t xml:space="preserve">  But the future of telehealth is unclear.  As the COVID pandemic recedes, its use in the future will depend on whether both providers and patients believe it is worthwhile, and how the many unresolved policy and payment issues are settled</w:t>
      </w:r>
      <w:r w:rsidR="00063CA9">
        <w:rPr>
          <w:rFonts w:ascii="Arial" w:eastAsiaTheme="minorHAnsi" w:hAnsi="Arial" w:cs="Arial"/>
          <w:color w:val="000000"/>
          <w:sz w:val="22"/>
          <w:szCs w:val="22"/>
        </w:rPr>
        <w:t>.</w:t>
      </w:r>
    </w:p>
    <w:p w14:paraId="6B944CA9" w14:textId="77777777" w:rsidR="00063CA9" w:rsidRDefault="00063CA9" w:rsidP="00063CA9">
      <w:pPr>
        <w:suppressAutoHyphens/>
        <w:autoSpaceDE w:val="0"/>
        <w:autoSpaceDN w:val="0"/>
        <w:adjustRightInd w:val="0"/>
        <w:spacing w:after="90" w:line="276" w:lineRule="auto"/>
        <w:contextualSpacing/>
        <w:textAlignment w:val="center"/>
        <w:rPr>
          <w:rFonts w:ascii="Arial" w:eastAsiaTheme="minorHAnsi" w:hAnsi="Arial" w:cs="Arial"/>
          <w:color w:val="000000"/>
          <w:sz w:val="22"/>
          <w:szCs w:val="22"/>
        </w:rPr>
      </w:pPr>
    </w:p>
    <w:p w14:paraId="416B3E31" w14:textId="7D211EA4" w:rsidR="00063CA9" w:rsidRDefault="005C74FC" w:rsidP="00063CA9">
      <w:pPr>
        <w:suppressAutoHyphens/>
        <w:autoSpaceDE w:val="0"/>
        <w:autoSpaceDN w:val="0"/>
        <w:adjustRightInd w:val="0"/>
        <w:spacing w:after="90" w:line="276" w:lineRule="auto"/>
        <w:contextualSpacing/>
        <w:textAlignment w:val="center"/>
        <w:rPr>
          <w:rFonts w:ascii="Arial" w:eastAsiaTheme="minorHAnsi" w:hAnsi="Arial" w:cs="Arial"/>
          <w:color w:val="000000"/>
          <w:sz w:val="22"/>
          <w:szCs w:val="22"/>
        </w:rPr>
      </w:pPr>
      <w:r w:rsidRPr="005C74FC">
        <w:rPr>
          <w:rFonts w:ascii="Arial" w:eastAsiaTheme="minorHAnsi" w:hAnsi="Arial" w:cs="Arial"/>
          <w:color w:val="000000"/>
          <w:sz w:val="22"/>
          <w:szCs w:val="22"/>
        </w:rPr>
        <w:t xml:space="preserve">Telehealth changes almost every single aspect of the diagnostic process, and the effect these changes impart on diagnostic outcomes is not known. </w:t>
      </w:r>
      <w:r w:rsidRPr="005C74FC">
        <w:rPr>
          <w:rFonts w:ascii="Arial" w:eastAsiaTheme="minorHAnsi" w:hAnsi="Arial" w:cs="Arial"/>
          <w:color w:val="000000"/>
          <w:sz w:val="22"/>
          <w:szCs w:val="22"/>
        </w:rPr>
        <w:fldChar w:fldCharType="begin"/>
      </w:r>
      <w:r w:rsidRPr="005C74FC">
        <w:rPr>
          <w:rFonts w:ascii="Arial" w:eastAsiaTheme="minorHAnsi" w:hAnsi="Arial" w:cs="Arial"/>
          <w:color w:val="000000"/>
          <w:sz w:val="22"/>
          <w:szCs w:val="22"/>
        </w:rPr>
        <w:instrText xml:space="preserve"> ADDIN EN.CITE &lt;EndNote&gt;&lt;Cite&gt;&lt;Author&gt;Smith&lt;/Author&gt;&lt;Year&gt;2020&lt;/Year&gt;&lt;RecNum&gt;7515&lt;/RecNum&gt;&lt;DisplayText&gt;(3)&lt;/DisplayText&gt;&lt;record&gt;&lt;rec-number&gt;7515&lt;/rec-number&gt;&lt;foreign-keys&gt;&lt;key app="EN" db-id="9wttvxpenwxrd5ettripp0sira920s0rp505" timestamp="1588887992"&gt;7515&lt;/key&gt;&lt;/foreign-keys&gt;&lt;ref-type name="Report"&gt;27&lt;/ref-type&gt;&lt;contributors&gt;&lt;authors&gt;&lt;author&gt;Smith, K.&lt;/author&gt;&lt;author&gt;Singh, H&lt;/author&gt;&lt;author&gt;Goeschel, CA&lt;/author&gt;&lt;author&gt;Graber, ML&lt;/author&gt;&lt;/authors&gt;&lt;secondary-authors&gt;&lt;author&gt;Agency for Healthcare Research and Quality&lt;/author&gt;&lt;/secondary-authors&gt;&lt;/contributors&gt;&lt;titles&gt;&lt;title&gt;Telediagnosis for Acute Care - Implications for the Quality and Safety of Diagnosis&lt;/title&gt;&lt;secondary-title&gt;Issue Briefs on Diagnosis&lt;/secondary-title&gt;&lt;/titles&gt;&lt;dates&gt;&lt;year&gt;2020&lt;/year&gt;&lt;/dates&gt;&lt;urls&gt;&lt;/urls&gt;&lt;/record&gt;&lt;/Cite&gt;&lt;/EndNote&gt;</w:instrText>
      </w:r>
      <w:r w:rsidRPr="005C74FC">
        <w:rPr>
          <w:rFonts w:ascii="Arial" w:eastAsiaTheme="minorHAnsi" w:hAnsi="Arial" w:cs="Arial"/>
          <w:color w:val="000000"/>
          <w:sz w:val="22"/>
          <w:szCs w:val="22"/>
        </w:rPr>
        <w:fldChar w:fldCharType="separate"/>
      </w:r>
      <w:r w:rsidRPr="005C74FC">
        <w:rPr>
          <w:rFonts w:ascii="Arial" w:eastAsiaTheme="minorHAnsi" w:hAnsi="Arial" w:cs="Arial"/>
          <w:color w:val="000000"/>
          <w:sz w:val="22"/>
          <w:szCs w:val="22"/>
        </w:rPr>
        <w:t>(3)</w:t>
      </w:r>
      <w:r w:rsidRPr="005C74FC">
        <w:rPr>
          <w:rFonts w:ascii="Arial" w:eastAsiaTheme="minorHAnsi" w:hAnsi="Arial" w:cs="Arial"/>
          <w:color w:val="000000"/>
          <w:sz w:val="22"/>
          <w:szCs w:val="22"/>
        </w:rPr>
        <w:fldChar w:fldCharType="end"/>
      </w:r>
      <w:r w:rsidRPr="005C74FC">
        <w:rPr>
          <w:rFonts w:ascii="Arial" w:eastAsiaTheme="minorHAnsi" w:hAnsi="Arial" w:cs="Arial"/>
          <w:color w:val="000000"/>
          <w:sz w:val="22"/>
          <w:szCs w:val="22"/>
        </w:rPr>
        <w:t xml:space="preserve">  In this series of ‘Conversations” we sought to learn how the different stakeholders involved view this new modality of healthcare delivery as it applies to diagnosis.  We have previously considered telediagnosis from the perspectives of hospitals, health systems, and clinical practices (4),and clinicians (5) In this report we consider the future of telediagnosis in ambulatory care and the many large issues that are now front and center.  Findings from the recent literature, and input from telehealth vendors, company representatives, and diagnostic quality and safety experts are presented, again using the RE-AIM framework (</w:t>
      </w:r>
      <w:r w:rsidR="00063CA9" w:rsidRPr="0036751A">
        <w:rPr>
          <w:rFonts w:ascii="Arial" w:hAnsi="Arial" w:cs="Arial"/>
          <w:b/>
          <w:bCs/>
          <w:color w:val="B79E38"/>
          <w:sz w:val="22"/>
          <w:szCs w:val="22"/>
        </w:rPr>
        <w:t>R</w:t>
      </w:r>
      <w:r w:rsidR="00063CA9" w:rsidRPr="0036751A">
        <w:rPr>
          <w:rFonts w:ascii="Arial" w:hAnsi="Arial" w:cs="Arial"/>
          <w:sz w:val="22"/>
          <w:szCs w:val="22"/>
        </w:rPr>
        <w:t xml:space="preserve">each, </w:t>
      </w:r>
      <w:r w:rsidR="00063CA9" w:rsidRPr="0036751A">
        <w:rPr>
          <w:rFonts w:ascii="Arial" w:hAnsi="Arial" w:cs="Arial"/>
          <w:b/>
          <w:bCs/>
          <w:color w:val="B79E38"/>
          <w:sz w:val="22"/>
          <w:szCs w:val="22"/>
        </w:rPr>
        <w:t>E</w:t>
      </w:r>
      <w:r w:rsidR="00063CA9" w:rsidRPr="0036751A">
        <w:rPr>
          <w:rFonts w:ascii="Arial" w:hAnsi="Arial" w:cs="Arial"/>
          <w:sz w:val="22"/>
          <w:szCs w:val="22"/>
        </w:rPr>
        <w:t xml:space="preserve">ffectiveness, </w:t>
      </w:r>
      <w:r w:rsidR="00063CA9" w:rsidRPr="0036751A">
        <w:rPr>
          <w:rFonts w:ascii="Arial" w:hAnsi="Arial" w:cs="Arial"/>
          <w:b/>
          <w:bCs/>
          <w:color w:val="B79E38"/>
          <w:sz w:val="22"/>
          <w:szCs w:val="22"/>
        </w:rPr>
        <w:t>A</w:t>
      </w:r>
      <w:r w:rsidR="00063CA9" w:rsidRPr="0036751A">
        <w:rPr>
          <w:rFonts w:ascii="Arial" w:hAnsi="Arial" w:cs="Arial"/>
          <w:sz w:val="22"/>
          <w:szCs w:val="22"/>
        </w:rPr>
        <w:t xml:space="preserve">doption, Implementation, and </w:t>
      </w:r>
      <w:r w:rsidR="00063CA9" w:rsidRPr="0036751A">
        <w:rPr>
          <w:rFonts w:ascii="Arial" w:hAnsi="Arial" w:cs="Arial"/>
          <w:b/>
          <w:bCs/>
          <w:color w:val="B79E38"/>
          <w:sz w:val="22"/>
          <w:szCs w:val="22"/>
        </w:rPr>
        <w:t>M</w:t>
      </w:r>
      <w:r w:rsidR="00063CA9" w:rsidRPr="0036751A">
        <w:rPr>
          <w:rFonts w:ascii="Arial" w:hAnsi="Arial" w:cs="Arial"/>
          <w:sz w:val="22"/>
          <w:szCs w:val="22"/>
        </w:rPr>
        <w:t>aintenance</w:t>
      </w:r>
      <w:r w:rsidRPr="005C74FC">
        <w:rPr>
          <w:rFonts w:ascii="Arial" w:eastAsiaTheme="minorHAnsi" w:hAnsi="Arial" w:cs="Arial"/>
          <w:color w:val="000000"/>
          <w:sz w:val="22"/>
          <w:szCs w:val="22"/>
        </w:rPr>
        <w:t xml:space="preserve"> and future prospects) to organize discussion topics.</w:t>
      </w:r>
      <w:r w:rsidRPr="005C74FC">
        <w:rPr>
          <w:rFonts w:ascii="Arial" w:eastAsiaTheme="minorHAnsi" w:hAnsi="Arial" w:cs="Arial"/>
          <w:color w:val="000000"/>
          <w:sz w:val="22"/>
          <w:szCs w:val="22"/>
        </w:rPr>
        <w:fldChar w:fldCharType="begin"/>
      </w:r>
      <w:r w:rsidRPr="005C74FC">
        <w:rPr>
          <w:rFonts w:ascii="Arial" w:eastAsiaTheme="minorHAnsi" w:hAnsi="Arial" w:cs="Arial"/>
          <w:color w:val="000000"/>
          <w:sz w:val="22"/>
          <w:szCs w:val="22"/>
        </w:rPr>
        <w:instrText xml:space="preserve"> ADDIN EN.CITE &lt;EndNote&gt;&lt;Cite&gt;&lt;Author&gt;Glasgow&lt;/Author&gt;&lt;Year&gt;2019&lt;/Year&gt;&lt;RecNum&gt;2948&lt;/RecNum&gt;&lt;DisplayText&gt;(5)&lt;/DisplayText&gt;&lt;record&gt;&lt;rec-number&gt;2948&lt;/rec-number&gt;&lt;foreign-keys&gt;&lt;key app="EN" db-id="zxxw0sde925ewfefpawpd2t79s9rs20pp0es" timestamp="1599014133"&gt;2948&lt;/key&gt;&lt;/foreign-keys&gt;&lt;ref-type name="Journal Article"&gt;17&lt;/ref-type&gt;&lt;contributors&gt;&lt;authors&gt;&lt;author&gt;Glasgow, RE&lt;/author&gt;&lt;author&gt;Harden, SM&lt;/author&gt;&lt;author&gt;Gaglio, B&lt;/author&gt;&lt;author&gt;Rabin, B&lt;/author&gt;&lt;author&gt;Smith, ML&lt;/author&gt;&lt;author&gt;Porter, GC&lt;/author&gt;&lt;author&gt;et al,&lt;/author&gt;&lt;/authors&gt;&lt;/contributors&gt;&lt;titles&gt;&lt;title&gt;RE-AIM Planning and Evaluation Framework: Adapting to New Science and Practice with a 20-Year Review&lt;/title&gt;&lt;secondary-title&gt;Frontiers in Public Health&lt;/secondary-title&gt;&lt;/titles&gt;&lt;periodical&gt;&lt;full-title&gt;Frontiers in Public Health&lt;/full-title&gt;&lt;/periodical&gt;&lt;pages&gt;Article 64&lt;/pages&gt;&lt;volume&gt;7&lt;/volume&gt;&lt;dates&gt;&lt;year&gt;2019&lt;/year&gt;&lt;/dates&gt;&lt;urls&gt;&lt;/urls&gt;&lt;/record&gt;&lt;/Cite&gt;&lt;/EndNote&gt;</w:instrText>
      </w:r>
      <w:r w:rsidRPr="005C74FC">
        <w:rPr>
          <w:rFonts w:ascii="Arial" w:eastAsiaTheme="minorHAnsi" w:hAnsi="Arial" w:cs="Arial"/>
          <w:color w:val="000000"/>
          <w:sz w:val="22"/>
          <w:szCs w:val="22"/>
        </w:rPr>
        <w:fldChar w:fldCharType="separate"/>
      </w:r>
      <w:r w:rsidRPr="005C74FC">
        <w:rPr>
          <w:rFonts w:ascii="Arial" w:eastAsiaTheme="minorHAnsi" w:hAnsi="Arial" w:cs="Arial"/>
          <w:color w:val="000000"/>
          <w:sz w:val="22"/>
          <w:szCs w:val="22"/>
        </w:rPr>
        <w:t>(add cite to Re-aim)</w:t>
      </w:r>
      <w:r w:rsidRPr="005C74FC">
        <w:rPr>
          <w:rFonts w:ascii="Arial" w:eastAsiaTheme="minorHAnsi" w:hAnsi="Arial" w:cs="Arial"/>
          <w:color w:val="000000"/>
          <w:sz w:val="22"/>
          <w:szCs w:val="22"/>
        </w:rPr>
        <w:fldChar w:fldCharType="end"/>
      </w:r>
      <w:r w:rsidRPr="005C74FC">
        <w:rPr>
          <w:rFonts w:ascii="Arial" w:eastAsiaTheme="minorHAnsi" w:hAnsi="Arial" w:cs="Arial"/>
          <w:color w:val="000000"/>
          <w:sz w:val="22"/>
          <w:szCs w:val="22"/>
        </w:rPr>
        <w:t>. (insert cite)</w:t>
      </w:r>
      <w:r w:rsidR="00A65A09" w:rsidRPr="006E37AC">
        <w:rPr>
          <w:rFonts w:ascii="Arial" w:hAnsi="Arial" w:cs="Arial"/>
          <w:color w:val="000000" w:themeColor="text1"/>
          <w:sz w:val="22"/>
          <w:szCs w:val="22"/>
        </w:rPr>
        <w:t xml:space="preserve"> </w:t>
      </w:r>
    </w:p>
    <w:p w14:paraId="3BCF2ADB" w14:textId="77777777" w:rsidR="00063CA9" w:rsidRDefault="00063CA9" w:rsidP="00063CA9">
      <w:pPr>
        <w:suppressAutoHyphens/>
        <w:autoSpaceDE w:val="0"/>
        <w:autoSpaceDN w:val="0"/>
        <w:adjustRightInd w:val="0"/>
        <w:spacing w:after="90" w:line="276" w:lineRule="auto"/>
        <w:contextualSpacing/>
        <w:textAlignment w:val="center"/>
        <w:rPr>
          <w:rFonts w:ascii="Arial" w:eastAsiaTheme="minorHAnsi" w:hAnsi="Arial" w:cs="Arial"/>
          <w:color w:val="000000"/>
          <w:sz w:val="22"/>
          <w:szCs w:val="22"/>
        </w:rPr>
      </w:pPr>
    </w:p>
    <w:p w14:paraId="19C81A2F" w14:textId="4A3DB17F" w:rsidR="00136280" w:rsidRPr="00063CA9" w:rsidRDefault="00A65A09" w:rsidP="00063CA9">
      <w:pPr>
        <w:suppressAutoHyphens/>
        <w:autoSpaceDE w:val="0"/>
        <w:autoSpaceDN w:val="0"/>
        <w:adjustRightInd w:val="0"/>
        <w:spacing w:after="90" w:line="276" w:lineRule="auto"/>
        <w:contextualSpacing/>
        <w:textAlignment w:val="center"/>
        <w:rPr>
          <w:rFonts w:ascii="Arial" w:eastAsiaTheme="minorHAnsi" w:hAnsi="Arial" w:cs="Arial"/>
          <w:color w:val="000000"/>
          <w:sz w:val="22"/>
          <w:szCs w:val="22"/>
        </w:rPr>
      </w:pPr>
      <w:r w:rsidRPr="005159F5">
        <w:rPr>
          <w:rFonts w:ascii="Arial" w:hAnsi="Arial" w:cs="Arial"/>
          <w:b/>
          <w:bCs/>
          <w:color w:val="000063"/>
          <w:sz w:val="28"/>
          <w:szCs w:val="28"/>
        </w:rPr>
        <w:t>Reach</w:t>
      </w:r>
    </w:p>
    <w:p w14:paraId="2A4257B1" w14:textId="6861CB33" w:rsidR="005C74FC" w:rsidRPr="006E37AC" w:rsidRDefault="00A65A09" w:rsidP="00063CA9">
      <w:pPr>
        <w:pStyle w:val="body"/>
        <w:spacing w:line="276" w:lineRule="auto"/>
        <w:contextualSpacing/>
        <w:rPr>
          <w:rFonts w:ascii="Arial" w:hAnsi="Arial" w:cs="Arial"/>
          <w:color w:val="000000" w:themeColor="text1"/>
          <w:sz w:val="22"/>
          <w:szCs w:val="22"/>
        </w:rPr>
      </w:pPr>
      <w:r w:rsidRPr="006E37AC">
        <w:rPr>
          <w:rFonts w:ascii="Arial" w:hAnsi="Arial" w:cs="Arial"/>
          <w:b/>
          <w:bCs/>
          <w:color w:val="B79E38"/>
          <w:sz w:val="22"/>
          <w:szCs w:val="22"/>
        </w:rPr>
        <w:t>Key findings from the literature</w:t>
      </w:r>
      <w:r w:rsidRPr="006E37AC">
        <w:rPr>
          <w:rFonts w:ascii="Arial" w:hAnsi="Arial" w:cs="Arial"/>
          <w:color w:val="B79E38"/>
          <w:sz w:val="22"/>
          <w:szCs w:val="22"/>
        </w:rPr>
        <w:t>:</w:t>
      </w:r>
      <w:r w:rsidR="00C324FF" w:rsidRPr="006E37AC">
        <w:rPr>
          <w:rFonts w:ascii="Arial" w:hAnsi="Arial" w:cs="Arial"/>
          <w:color w:val="000000" w:themeColor="text1"/>
          <w:sz w:val="22"/>
          <w:szCs w:val="22"/>
        </w:rPr>
        <w:t xml:space="preserve"> </w:t>
      </w:r>
      <w:r w:rsidR="005C74FC" w:rsidRPr="006E37AC">
        <w:rPr>
          <w:rFonts w:ascii="Arial" w:hAnsi="Arial" w:cs="Arial"/>
          <w:color w:val="000000" w:themeColor="text1"/>
          <w:sz w:val="22"/>
          <w:szCs w:val="22"/>
        </w:rPr>
        <w:t>Telehealth as a field, spans a wide range of services and commercial interests, with over 250 vendors already involved.  On one end are the large commercial conferencing systems that already existed, and could be easily used for virtual ‘visits’.   At the other end are brand-new, highly-specialized start-ups developing tools to examine and monitor patients in their home setting.  And in the middle are a host of commercial</w:t>
      </w:r>
      <w:r w:rsidR="0036751A">
        <w:rPr>
          <w:rFonts w:ascii="Arial" w:hAnsi="Arial" w:cs="Arial"/>
          <w:color w:val="000000" w:themeColor="text1"/>
          <w:sz w:val="22"/>
          <w:szCs w:val="22"/>
        </w:rPr>
        <w:t xml:space="preserve"> </w:t>
      </w:r>
      <w:r w:rsidR="005C74FC" w:rsidRPr="006E37AC">
        <w:rPr>
          <w:rFonts w:ascii="Arial" w:hAnsi="Arial" w:cs="Arial"/>
          <w:color w:val="000000" w:themeColor="text1"/>
          <w:sz w:val="22"/>
          <w:szCs w:val="22"/>
        </w:rPr>
        <w:t xml:space="preserve">services that enable connection, integration with existing systems </w:t>
      </w:r>
      <w:r w:rsidR="005C74FC" w:rsidRPr="005C74FC">
        <w:rPr>
          <w:rFonts w:ascii="Arial" w:hAnsi="Arial" w:cs="Arial"/>
          <w:color w:val="000000" w:themeColor="text1"/>
          <w:sz w:val="20"/>
          <w:szCs w:val="20"/>
        </w:rPr>
        <w:t xml:space="preserve">or the electronic medical record, </w:t>
      </w:r>
      <w:r w:rsidR="005C74FC" w:rsidRPr="006E37AC">
        <w:rPr>
          <w:rFonts w:ascii="Arial" w:hAnsi="Arial" w:cs="Arial"/>
          <w:color w:val="000000" w:themeColor="text1"/>
          <w:sz w:val="22"/>
          <w:szCs w:val="22"/>
        </w:rPr>
        <w:t>or end-to-end services that provide a package of services and resources.  Some systems link directly to an organization’s EMR, others do not.</w:t>
      </w:r>
    </w:p>
    <w:p w14:paraId="4DFD6253" w14:textId="77777777" w:rsidR="007646B5" w:rsidRDefault="005C74FC" w:rsidP="005C74FC">
      <w:pPr>
        <w:spacing w:line="276" w:lineRule="auto"/>
        <w:rPr>
          <w:rFonts w:ascii="Arial" w:eastAsiaTheme="minorHAnsi" w:hAnsi="Arial" w:cs="Arial"/>
          <w:color w:val="000000" w:themeColor="text1"/>
          <w:sz w:val="22"/>
          <w:szCs w:val="22"/>
        </w:rPr>
      </w:pPr>
      <w:r w:rsidRPr="005C74FC">
        <w:rPr>
          <w:rFonts w:ascii="Arial" w:eastAsiaTheme="minorHAnsi" w:hAnsi="Arial" w:cs="Arial"/>
          <w:color w:val="000000" w:themeColor="text1"/>
          <w:sz w:val="22"/>
          <w:szCs w:val="22"/>
        </w:rPr>
        <w:t xml:space="preserve">Many commercial systems are designed for existing practices and healthcare organizations to continue providing services to their own patients.  Other vendors replace these practices and </w:t>
      </w:r>
    </w:p>
    <w:p w14:paraId="22F6D13F" w14:textId="77777777" w:rsidR="007646B5" w:rsidRDefault="007646B5" w:rsidP="005C74FC">
      <w:pPr>
        <w:spacing w:line="276" w:lineRule="auto"/>
        <w:rPr>
          <w:rFonts w:ascii="Arial" w:eastAsiaTheme="minorHAnsi" w:hAnsi="Arial" w:cs="Arial"/>
          <w:color w:val="000000" w:themeColor="text1"/>
          <w:sz w:val="22"/>
          <w:szCs w:val="22"/>
        </w:rPr>
      </w:pPr>
    </w:p>
    <w:p w14:paraId="56A34DCF" w14:textId="77777777" w:rsidR="007646B5" w:rsidRDefault="007646B5" w:rsidP="005C74FC">
      <w:pPr>
        <w:spacing w:line="276" w:lineRule="auto"/>
        <w:rPr>
          <w:rFonts w:ascii="Arial" w:eastAsiaTheme="minorHAnsi" w:hAnsi="Arial" w:cs="Arial"/>
          <w:color w:val="000000" w:themeColor="text1"/>
          <w:sz w:val="22"/>
          <w:szCs w:val="22"/>
        </w:rPr>
      </w:pPr>
    </w:p>
    <w:p w14:paraId="066A32BD" w14:textId="71C611BC" w:rsidR="007646B5" w:rsidRDefault="005C74FC" w:rsidP="005C74FC">
      <w:pPr>
        <w:spacing w:line="276" w:lineRule="auto"/>
        <w:rPr>
          <w:rFonts w:ascii="Arial" w:eastAsiaTheme="minorHAnsi" w:hAnsi="Arial" w:cs="Arial"/>
          <w:color w:val="000000" w:themeColor="text1"/>
          <w:sz w:val="22"/>
          <w:szCs w:val="22"/>
        </w:rPr>
      </w:pPr>
      <w:r w:rsidRPr="005C74FC">
        <w:rPr>
          <w:rFonts w:ascii="Arial" w:eastAsiaTheme="minorHAnsi" w:hAnsi="Arial" w:cs="Arial"/>
          <w:color w:val="000000" w:themeColor="text1"/>
          <w:sz w:val="22"/>
          <w:szCs w:val="22"/>
        </w:rPr>
        <w:t xml:space="preserve">organizations and provide direct-to-consumer healthcare services.  Some vendors connect a </w:t>
      </w:r>
    </w:p>
    <w:p w14:paraId="1F04EE22" w14:textId="1FBF3BEA" w:rsidR="005C74FC" w:rsidRPr="005C74FC" w:rsidRDefault="005C74FC" w:rsidP="005C74FC">
      <w:pPr>
        <w:spacing w:line="276" w:lineRule="auto"/>
        <w:rPr>
          <w:rFonts w:ascii="Arial" w:eastAsiaTheme="minorHAnsi" w:hAnsi="Arial" w:cs="Arial"/>
          <w:color w:val="000000" w:themeColor="text1"/>
          <w:sz w:val="22"/>
          <w:szCs w:val="22"/>
        </w:rPr>
      </w:pPr>
      <w:r w:rsidRPr="005C74FC">
        <w:rPr>
          <w:rFonts w:ascii="Arial" w:eastAsiaTheme="minorHAnsi" w:hAnsi="Arial" w:cs="Arial"/>
          <w:color w:val="000000" w:themeColor="text1"/>
          <w:sz w:val="22"/>
          <w:szCs w:val="22"/>
        </w:rPr>
        <w:t xml:space="preserve">patient to one of the company’s clinicians for primary and urgent-care complaints and issues, while others  provide virtual access to second opinions, a valuable aid to diagnostic quality and safety.  Several major healthcare organizations have developed their own platforms for delivery rather than relying upon an outside vendor.   </w:t>
      </w:r>
    </w:p>
    <w:p w14:paraId="2EC8590F" w14:textId="748FA9C9" w:rsidR="00A65A09" w:rsidRPr="006E37AC" w:rsidRDefault="00A65A09" w:rsidP="005C74FC">
      <w:pPr>
        <w:spacing w:line="276" w:lineRule="auto"/>
        <w:rPr>
          <w:rFonts w:ascii="Arial" w:hAnsi="Arial" w:cs="Arial"/>
          <w:sz w:val="22"/>
          <w:szCs w:val="22"/>
        </w:rPr>
      </w:pPr>
    </w:p>
    <w:p w14:paraId="4671778F" w14:textId="69AAF555" w:rsidR="005C74FC" w:rsidRPr="006E37AC" w:rsidRDefault="005C74FC" w:rsidP="005C74FC">
      <w:pPr>
        <w:spacing w:line="276" w:lineRule="auto"/>
        <w:rPr>
          <w:rFonts w:ascii="Arial" w:hAnsi="Arial" w:cs="Arial"/>
          <w:sz w:val="22"/>
          <w:szCs w:val="22"/>
        </w:rPr>
      </w:pPr>
      <w:r w:rsidRPr="005C74FC">
        <w:rPr>
          <w:rFonts w:ascii="Arial" w:hAnsi="Arial" w:cs="Arial"/>
          <w:sz w:val="22"/>
          <w:szCs w:val="22"/>
        </w:rPr>
        <w:t>Telemedicine is attracting serious investment; in just the first nine months of 2020, over 3 billion dollars was ventured, topping the list of digital health options. Wearable sensors alone garnered $703 million in venture capital.</w:t>
      </w:r>
      <w:r w:rsidRPr="005C74FC">
        <w:rPr>
          <w:rFonts w:ascii="Arial" w:hAnsi="Arial" w:cs="Arial"/>
          <w:sz w:val="22"/>
          <w:szCs w:val="22"/>
        </w:rPr>
        <w:fldChar w:fldCharType="begin"/>
      </w:r>
      <w:r w:rsidRPr="005C74FC">
        <w:rPr>
          <w:rFonts w:ascii="Arial" w:hAnsi="Arial" w:cs="Arial"/>
          <w:sz w:val="22"/>
          <w:szCs w:val="22"/>
        </w:rPr>
        <w:instrText xml:space="preserve"> ADDIN EN.CITE &lt;EndNote&gt;&lt;Cite&gt;&lt;Author&gt;Carlos&lt;/Author&gt;&lt;Year&gt;2020&lt;/Year&gt;&lt;RecNum&gt;2990&lt;/RecNum&gt;&lt;DisplayText&gt;(5)&lt;/DisplayText&gt;&lt;record&gt;&lt;rec-number&gt;2990&lt;/rec-number&gt;&lt;foreign-keys&gt;&lt;key app="EN" db-id="zxxw0sde925ewfefpawpd2t79s9rs20pp0es" timestamp="1621431886"&gt;2990&lt;/key&gt;&lt;/foreign-keys&gt;&lt;ref-type name="Journal Article"&gt;17&lt;/ref-type&gt;&lt;contributors&gt;&lt;authors&gt;&lt;author&gt;Carlos, I&lt;/author&gt;&lt;/authors&gt;&lt;/contributors&gt;&lt;titles&gt;&lt;title&gt;Telemedicine tops digital health funding in 2020 at $3.2B: 4 things to know&lt;/title&gt;&lt;secondary-title&gt;Beckers Hospital Review&lt;/secondary-title&gt;&lt;/titles&gt;&lt;periodical&gt;&lt;full-title&gt;Beckers Hospital Review&lt;/full-title&gt;&lt;/periodical&gt;&lt;volume&gt;https://www.beckershospitalreview.com/digital-transformation/telemedicine-tops-digital-health-funding-in-2020-at-3-2b-4-things-to-know.html&lt;/volume&gt;&lt;dates&gt;&lt;year&gt;2020&lt;/year&gt;&lt;/dates&gt;&lt;urls&gt;&lt;/urls&gt;&lt;/record&gt;&lt;/Cite&gt;&lt;/EndNote&gt;</w:instrText>
      </w:r>
      <w:r w:rsidRPr="005C74FC">
        <w:rPr>
          <w:rFonts w:ascii="Arial" w:hAnsi="Arial" w:cs="Arial"/>
          <w:sz w:val="22"/>
          <w:szCs w:val="22"/>
        </w:rPr>
        <w:fldChar w:fldCharType="separate"/>
      </w:r>
      <w:r w:rsidRPr="005C74FC">
        <w:rPr>
          <w:rFonts w:ascii="Arial" w:hAnsi="Arial" w:cs="Arial"/>
          <w:sz w:val="22"/>
          <w:szCs w:val="22"/>
        </w:rPr>
        <w:t>(5)</w:t>
      </w:r>
      <w:r w:rsidRPr="005C74FC">
        <w:rPr>
          <w:rFonts w:ascii="Arial" w:hAnsi="Arial" w:cs="Arial"/>
          <w:sz w:val="22"/>
          <w:szCs w:val="22"/>
        </w:rPr>
        <w:fldChar w:fldCharType="end"/>
      </w:r>
    </w:p>
    <w:p w14:paraId="3977FC9E" w14:textId="068A11A7" w:rsidR="00A65A09" w:rsidRPr="006E37AC" w:rsidRDefault="005159F5" w:rsidP="005C74FC">
      <w:pPr>
        <w:pStyle w:val="body"/>
        <w:spacing w:before="240" w:line="276" w:lineRule="auto"/>
        <w:rPr>
          <w:rFonts w:ascii="Arial" w:hAnsi="Arial" w:cs="Arial"/>
          <w:sz w:val="22"/>
          <w:szCs w:val="22"/>
        </w:rPr>
      </w:pPr>
      <w:r w:rsidRPr="006E37AC">
        <w:rPr>
          <w:rFonts w:ascii="Arial" w:hAnsi="Arial" w:cs="Arial"/>
          <w:b/>
          <w:bCs/>
          <w:color w:val="B79E38"/>
          <w:sz w:val="22"/>
          <w:szCs w:val="22"/>
        </w:rPr>
        <w:t>What we heard:</w:t>
      </w:r>
      <w:r w:rsidRPr="006E37AC">
        <w:rPr>
          <w:rFonts w:ascii="Arial" w:hAnsi="Arial" w:cs="Arial"/>
          <w:sz w:val="22"/>
          <w:szCs w:val="22"/>
        </w:rPr>
        <w:t xml:space="preserve"> </w:t>
      </w:r>
      <w:r w:rsidR="005C74FC" w:rsidRPr="006E37AC">
        <w:rPr>
          <w:rFonts w:ascii="Arial" w:hAnsi="Arial" w:cs="Arial"/>
          <w:sz w:val="22"/>
          <w:szCs w:val="22"/>
        </w:rPr>
        <w:t>Much of what we heard in our discussions echoed what was found in the literature, with a few points emerging most prominently.  The capacity for telemedicine to expand access to care was a palpable theme, though each conversation participant acknowledged that we have a great deal to learn about the patterns of use and access among underserved populations.   Other prominent themes were mentioned, including the value of asynchronous telemedicine by way of remote patient monitoring, and online education and communication platforms that can be accessed through patient portals.  While some of these technologies have been in place for many years, the sentiment among those we spoke to was that this was an area to watch for its potential to improve care coordination and importantly, enhance the diagnostic process.</w:t>
      </w:r>
    </w:p>
    <w:p w14:paraId="5F94F42C" w14:textId="48E5709A" w:rsidR="00A65A09" w:rsidRPr="005159F5" w:rsidRDefault="005159F5" w:rsidP="00D54F87">
      <w:pPr>
        <w:suppressAutoHyphens/>
        <w:autoSpaceDE w:val="0"/>
        <w:autoSpaceDN w:val="0"/>
        <w:adjustRightInd w:val="0"/>
        <w:spacing w:before="240" w:after="90" w:line="288" w:lineRule="auto"/>
        <w:textAlignment w:val="center"/>
        <w:rPr>
          <w:rFonts w:ascii="Arial" w:hAnsi="Arial" w:cs="Arial"/>
          <w:b/>
          <w:bCs/>
          <w:color w:val="000063"/>
          <w:sz w:val="28"/>
          <w:szCs w:val="28"/>
        </w:rPr>
      </w:pPr>
      <w:r>
        <w:rPr>
          <w:rFonts w:ascii="Arial" w:hAnsi="Arial" w:cs="Arial"/>
          <w:b/>
          <w:bCs/>
          <w:color w:val="000063"/>
          <w:sz w:val="28"/>
          <w:szCs w:val="28"/>
        </w:rPr>
        <w:t>Effectiveness</w:t>
      </w:r>
    </w:p>
    <w:p w14:paraId="6422B0EF" w14:textId="01737755" w:rsidR="00A65A09" w:rsidRPr="006E37AC" w:rsidRDefault="00A65A09" w:rsidP="00A65A09">
      <w:pPr>
        <w:pStyle w:val="body"/>
        <w:spacing w:line="276" w:lineRule="auto"/>
        <w:rPr>
          <w:rFonts w:ascii="Arial" w:hAnsi="Arial" w:cs="Arial"/>
          <w:sz w:val="22"/>
          <w:szCs w:val="22"/>
        </w:rPr>
      </w:pPr>
      <w:r w:rsidRPr="006E37AC">
        <w:rPr>
          <w:rFonts w:ascii="Arial" w:hAnsi="Arial" w:cs="Arial"/>
          <w:b/>
          <w:bCs/>
          <w:color w:val="B79E38"/>
          <w:sz w:val="22"/>
          <w:szCs w:val="22"/>
        </w:rPr>
        <w:t>Key findings from the literature:</w:t>
      </w:r>
      <w:r w:rsidR="00C324FF" w:rsidRPr="006E37AC">
        <w:rPr>
          <w:rFonts w:ascii="Arial" w:hAnsi="Arial" w:cs="Arial"/>
          <w:b/>
          <w:bCs/>
          <w:color w:val="B79E38"/>
          <w:sz w:val="22"/>
          <w:szCs w:val="22"/>
        </w:rPr>
        <w:t xml:space="preserve"> </w:t>
      </w:r>
      <w:r w:rsidR="005C74FC" w:rsidRPr="006E37AC">
        <w:rPr>
          <w:rFonts w:ascii="Arial" w:hAnsi="Arial" w:cs="Arial"/>
          <w:sz w:val="22"/>
          <w:szCs w:val="22"/>
        </w:rPr>
        <w:t>The first steps of diagnosis involve learning the patient’s chief complaint and the history of their illness, performing an appropriate physical examination, and gathering relevant information from their medical records.  The most critical limitation of virtual care is exactly that: it is virtual; that middle step, learning from the physical examination is, by the nature of the interaction, limited.  Limitations in assessing breathlessness during the COVID-19 pandemic illustrate the criticality of this problem.</w:t>
      </w:r>
      <w:r w:rsidR="005C74FC" w:rsidRPr="006E37AC">
        <w:rPr>
          <w:rFonts w:ascii="Arial" w:hAnsi="Arial" w:cs="Arial"/>
          <w:sz w:val="22"/>
          <w:szCs w:val="22"/>
        </w:rPr>
        <w:fldChar w:fldCharType="begin"/>
      </w:r>
      <w:r w:rsidR="005C74FC" w:rsidRPr="006E37AC">
        <w:rPr>
          <w:rFonts w:ascii="Arial" w:hAnsi="Arial" w:cs="Arial"/>
          <w:sz w:val="22"/>
          <w:szCs w:val="22"/>
        </w:rPr>
        <w:instrText xml:space="preserve"> ADDIN EN.CITE &lt;EndNote&gt;&lt;Cite&gt;&lt;Author&gt;Greenhalgh&lt;/Author&gt;&lt;Year&gt;2020&lt;/Year&gt;&lt;RecNum&gt;2994&lt;/RecNum&gt;&lt;DisplayText&gt;(15)&lt;/DisplayText&gt;&lt;record&gt;&lt;rec-number&gt;2994&lt;/rec-number&gt;&lt;foreign-keys&gt;&lt;key app="EN" db-id="zxxw0sde925ewfefpawpd2t79s9rs20pp0es" timestamp="1621609918"&gt;2994&lt;/key&gt;&lt;/foreign-keys&gt;&lt;ref-type name="Journal Article"&gt;17&lt;/ref-type&gt;&lt;contributors&gt;&lt;authors&gt;&lt;author&gt;Greenhalgh, T&lt;/author&gt;&lt;/authors&gt;&lt;/contributors&gt;&lt;titles&gt;&lt;title&gt;Covid-19: a remote assessment in primary care&lt;/title&gt;&lt;secondary-title&gt;Br Med J&lt;/secondary-title&gt;&lt;/titles&gt;&lt;periodical&gt;&lt;full-title&gt;Br Med J&lt;/full-title&gt;&lt;/periodical&gt;&lt;pages&gt;doi: 10.1136/bmj.m1182&lt;/pages&gt;&lt;volume&gt;368&lt;/volume&gt;&lt;num-vols&gt;m:1182&lt;/num-vols&gt;&lt;dates&gt;&lt;year&gt;2020&lt;/year&gt;&lt;/dates&gt;&lt;urls&gt;&lt;/urls&gt;&lt;/record&gt;&lt;/Cite&gt;&lt;/EndNote&gt;</w:instrText>
      </w:r>
      <w:r w:rsidR="005C74FC" w:rsidRPr="006E37AC">
        <w:rPr>
          <w:rFonts w:ascii="Arial" w:hAnsi="Arial" w:cs="Arial"/>
          <w:sz w:val="22"/>
          <w:szCs w:val="22"/>
        </w:rPr>
        <w:fldChar w:fldCharType="separate"/>
      </w:r>
      <w:r w:rsidR="005C74FC" w:rsidRPr="006E37AC">
        <w:rPr>
          <w:rFonts w:ascii="Arial" w:hAnsi="Arial" w:cs="Arial"/>
          <w:sz w:val="22"/>
          <w:szCs w:val="22"/>
        </w:rPr>
        <w:t>(15)</w:t>
      </w:r>
      <w:r w:rsidR="005C74FC" w:rsidRPr="006E37AC">
        <w:rPr>
          <w:rFonts w:ascii="Arial" w:hAnsi="Arial" w:cs="Arial"/>
          <w:sz w:val="22"/>
          <w:szCs w:val="22"/>
        </w:rPr>
        <w:fldChar w:fldCharType="end"/>
      </w:r>
      <w:r w:rsidR="005C74FC" w:rsidRPr="006E37AC">
        <w:rPr>
          <w:rFonts w:ascii="Arial" w:hAnsi="Arial" w:cs="Arial"/>
          <w:sz w:val="22"/>
          <w:szCs w:val="22"/>
        </w:rPr>
        <w:t xml:space="preserve">  Knowing who needs to be seen ‘in person’ is the critical question for every telehealth provider, and understanding the limitations of virtual care is the key to realizing diagnostic quality and safety for telediagnosis.</w:t>
      </w:r>
    </w:p>
    <w:p w14:paraId="7A3484CF" w14:textId="77777777" w:rsidR="006E37AC" w:rsidRDefault="005C74FC" w:rsidP="005C74FC">
      <w:pPr>
        <w:pStyle w:val="body"/>
        <w:spacing w:line="276" w:lineRule="auto"/>
        <w:rPr>
          <w:rFonts w:ascii="Arial" w:hAnsi="Arial" w:cs="Arial"/>
          <w:sz w:val="22"/>
          <w:szCs w:val="22"/>
        </w:rPr>
      </w:pPr>
      <w:r w:rsidRPr="005C74FC">
        <w:rPr>
          <w:rFonts w:ascii="Arial" w:hAnsi="Arial" w:cs="Arial"/>
          <w:sz w:val="22"/>
          <w:szCs w:val="22"/>
        </w:rPr>
        <w:t xml:space="preserve">At the same time, creative approaches to reproducing elements of the physical examination are appearing regularly.  Clinicians, researchers, and commercial concerns, are all seeking to provide work-arounds and devices that can be used at home, in a ‘patient-assisted’ physical </w:t>
      </w:r>
    </w:p>
    <w:p w14:paraId="3D3CEB5D" w14:textId="77777777" w:rsidR="00F75658" w:rsidRDefault="005C74FC" w:rsidP="005C74FC">
      <w:pPr>
        <w:pStyle w:val="body"/>
        <w:spacing w:line="276" w:lineRule="auto"/>
        <w:rPr>
          <w:rFonts w:ascii="Arial" w:hAnsi="Arial" w:cs="Arial"/>
          <w:sz w:val="22"/>
          <w:szCs w:val="22"/>
        </w:rPr>
      </w:pPr>
      <w:r w:rsidRPr="005C74FC">
        <w:rPr>
          <w:rFonts w:ascii="Arial" w:hAnsi="Arial" w:cs="Arial"/>
          <w:sz w:val="22"/>
          <w:szCs w:val="22"/>
        </w:rPr>
        <w:t>examination.</w:t>
      </w:r>
      <w:r w:rsidRPr="005C74FC">
        <w:rPr>
          <w:rFonts w:ascii="Arial" w:hAnsi="Arial" w:cs="Arial"/>
          <w:sz w:val="22"/>
          <w:szCs w:val="22"/>
        </w:rPr>
        <w:fldChar w:fldCharType="begin">
          <w:fldData xml:space="preserve">PEVuZE5vdGU+PENpdGU+PEF1dGhvcj5WZWdlc25hPC9BdXRob3I+PFllYXI+MjAxNzwvWWVhcj48
UmVjTnVtPjM4NDwvUmVjTnVtPjxEaXNwbGF5VGV4dD4oMTYtMTgpPC9EaXNwbGF5VGV4dD48cmVj
b3JkPjxyZWMtbnVtYmVyPjM4NDwvcmVjLW51bWJlcj48Zm9yZWlnbi1rZXlzPjxrZXkgYXBwPSJF
TiIgZGItaWQ9Inp4eHcwc2RlOTI1ZXdmZWZwYXdwZDJ0NzlzOXJzMjBwcDBlcyIgdGltZXN0YW1w
PSIxNTk1MzU2OTc4Ij4zODQ8L2tleT48L2ZvcmVpZ24ta2V5cz48cmVmLXR5cGUgbmFtZT0iSm91
cm5hbCBBcnRpY2xlIj4xNzwvcmVmLXR5cGU+PGNvbnRyaWJ1dG9ycz48YXV0aG9ycz48YXV0aG9y
PlZlZ2VzbmEsIEEuPC9hdXRob3I+PGF1dGhvcj5UcmFuLCBNLjwvYXV0aG9yPjxhdXRob3I+QW5n
ZWxhY2NpbywgTS48L2F1dGhvcj48YXV0aG9yPkFyY29uYSwgUy48L2F1dGhvcj48L2F1dGhvcnM+
PC9jb250cmlidXRvcnM+PGF1dGgtYWRkcmVzcz4xIEplZmZlcnNvbiBDb2xsZWdlIG9mIFBvcHVs
YXRpb24gSGVhbHRoICwgUGhpbGFkZWxwaGlhLCBQZW5uc3lsdmFuaWEuJiN4RDsyIE5vdmFydGlz
IFBoYXJtYWNldXRpY2FscyBDb3Jwb3JhdGlvbiAsIEVhc3QgSGFub3ZlciwgTmV3IEplcnNleS4m
I3hEOzMgU2NvdHQgJmFtcDsgV2hpdGUgSGVhbHRoIFBsYW4gLCBUZW1wbGUsIFRleGFzLjwvYXV0
aC1hZGRyZXNzPjx0aXRsZXM+PHRpdGxlPlJlbW90ZSBQYXRpZW50IE1vbml0b3JpbmcgdmlhIE5v
bi1JbnZhc2l2ZSBEaWdpdGFsIFRlY2hub2xvZ2llczogQSBTeXN0ZW1hdGljIFJldmlldzwvdGl0
bGU+PHNlY29uZGFyeS10aXRsZT5UZWxlbWVkIEogRSBIZWFsdGg8L3NlY29uZGFyeS10aXRsZT48
L3RpdGxlcz48cGVyaW9kaWNhbD48ZnVsbC10aXRsZT5UZWxlbWVkIEogRSBIZWFsdGg8L2Z1bGwt
dGl0bGU+PC9wZXJpb2RpY2FsPjxwYWdlcz4zLTE3PC9wYWdlcz48dm9sdW1lPjIzPC92b2x1bWU+
PG51bWJlcj4xPC9udW1iZXI+PGVkaXRpb24+MjAxNi8wNC8yNzwvZWRpdGlvbj48a2V5d29yZHM+
PGtleXdvcmQ+Q2hyb25pYyBEaXNlYXNlPC9rZXl3b3JkPjxrZXl3b3JkPk1vbml0b3JpbmcsIEFt
YnVsYXRvcnkvKmluc3RydW1lbnRhdGlvbjwva2V5d29yZD48a2V5d29yZD5SZW1vdGUgU2Vuc2lu
ZyBUZWNobm9sb2d5LyppbnN0cnVtZW50YXRpb248L2tleXdvcmQ+PGtleXdvcmQ+VGVsZW1lZGlj
aW5lLyppbnN0cnVtZW50YXRpb248L2tleXdvcmQ+PGtleXdvcmQ+KmUtaGVhbHRoPC9rZXl3b3Jk
PjxrZXl3b3JkPiptLWhlYWx0aDwva2V5d29yZD48a2V5d29yZD4qdGVsZWhlYWx0aDwva2V5d29y
ZD48a2V5d29yZD4qdGVsZW1lZGljaW5lPC9rZXl3b3JkPjxrZXl3b3JkPmFuZCBhIFVTIEhFT1Ig
RmVsbG93IGF0IE5vdmFydGlzIFBoYXJtYWNldXRpY2FscyBDb3Jwb3JhdGlvbi4gTS5ULiBpcyBh
IHBvc3Rkb2N0b3JhbDwva2V5d29yZD48a2V5d29yZD5zdHVkZW50IGZyb20gU2NvdHQgJmFtcDsg
V2hpdGUgSGVhbHRoIFBsYW4sIFVuaXZlcnNpdHkgb2YgVGV4YXMgYXQgQXVzdGluIGFuZCBhIFVT
IEhFT1I8L2tleXdvcmQ+PGtleXdvcmQ+RmVsbG93IGF0IE5vdmFydGlzIFBoYXJtYWNldXRpY2Fs
cyBDb3Jwb3JhdGlvbi4gUy5BLiBhbmQgTS5BLiBhcmUgZW1wbG95ZWVzIG9mPC9rZXl3b3JkPjxr
ZXl3b3JkPk5vdmFydGlzIFBoYXJtYWNldXRpY2FscyBDb3Jwb3JhdGlvbi4gTm92YXJ0aXMgUGhh
cm1hY2V1dGljYWxzIENvcnBvcmF0aW9uIHByb3ZpZGVkPC9rZXl3b3JkPjxrZXl3b3JkPmZ1bmRp
bmcgZm9yIHRoaXMgd29yay48L2tleXdvcmQ+PC9rZXl3b3Jkcz48ZGF0ZXM+PHllYXI+MjAxNzwv
eWVhcj48cHViLWRhdGVzPjxkYXRlPkphbjwvZGF0ZT48L3B1Yi1kYXRlcz48L2RhdGVzPjxpc2Ju
PjE1MzAtNTYyNyAoUHJpbnQpJiN4RDsxNTMwLTU2Mjc8L2lzYm4+PGFjY2Vzc2lvbi1udW0+Mjcx
MTYxODE8L2FjY2Vzc2lvbi1udW0+PHVybHM+PC91cmxzPjxjdXN0b20yPlBNQzUyNDAwMTE8L2N1
c3RvbTI+PGVsZWN0cm9uaWMtcmVzb3VyY2UtbnVtPjEwLjEwODkvdG1qLjIwMTYuMDA1MTwvZWxl
Y3Ryb25pYy1yZXNvdXJjZS1udW0+PHJlbW90ZS1kYXRhYmFzZS1wcm92aWRlcj5OTE08L3JlbW90
ZS1kYXRhYmFzZS1wcm92aWRlcj48bGFuZ3VhZ2U+ZW5nPC9sYW5ndWFnZT48L3JlY29yZD48L0Np
dGU+PENpdGU+PEF1dGhvcj5XZWluc3RlaW48L0F1dGhvcj48WWVhcj4yMDE4PC9ZZWFyPjxSZWNO
dW0+MjQ4NDwvUmVjTnVtPjxyZWNvcmQ+PHJlYy1udW1iZXI+MjQ4NDwvcmVjLW51bWJlcj48Zm9y
ZWlnbi1rZXlzPjxrZXkgYXBwPSJFTiIgZGItaWQ9Inp4eHcwc2RlOTI1ZXdmZWZwYXdwZDJ0Nzlz
OXJzMjBwcDBlcyIgdGltZXN0YW1wPSIxNTk1NDM0NTU0Ij4yNDg0PC9rZXk+PC9mb3JlaWduLWtl
eXM+PHJlZi10eXBlIG5hbWU9IkpvdXJuYWwgQXJ0aWNsZSI+MTc8L3JlZi10eXBlPjxjb250cmli
dXRvcnM+PGF1dGhvcnM+PGF1dGhvcj5XZWluc3RlaW4sIFIuIFMuPC9hdXRob3I+PGF1dGhvcj5L
cnVwaW5za2ksIEUuIEEuPC9hdXRob3I+PGF1dGhvcj5Eb2FybiwgQy4gUi48L2F1dGhvcj48L2F1
dGhvcnM+PC9jb250cmlidXRvcnM+PGF1dGgtYWRkcmVzcz5Bcml6b25hIFRlbGVtZWRpY2luZSBQ
cm9ncmFtLCBVbml2ZXJzaXR5IG9mIEFyaXpvbmEgQ29sbGVnZSBvZiBNZWRpY2luZSwgMTUwMSBO
b3J0aCBDYW1wYmVsbCBBdmVudWUsIFR1Y3NvbiwgQVogODU3MjQsIFVTQS4gRWxlY3Ryb25pYyBh
ZGRyZXNzOiByd2VpbnN0ZWluQHRlbGVtZWRpY2luZS5hcml6b25hLmVkdS4mI3hEO0RlcGFydG1l
bnQgb2YgUmFkaW9sb2d5IGFuZCBJbWFnaW5nIFNjaWVuY2VzLCBFbW9yeSBVbml2ZXJzaXR5LCAx
MzY0IENsaWZ0b24gUm9hZCBOb3J0aGVhc3QgRDEwNywgQXRsYW50YSwgR0EgMzAzMjIsIFVTQS4m
I3hEO0RlcGFydG1lbnQgb2YgRmFtaWx5IGFuZCBDb21tdW5pdHkgTWVkaWNpbmUsIFVuaXZlcnNp
dHkgb2YgQ2luY2lubmF0aSwgMjMxIEFsYmVydCBTYWJpbiBXYXksIENpbmNpbm5hdGksIE9IIDQ1
MjY3LTA1ODIsIFVTQS48L2F1dGgtYWRkcmVzcz48dGl0bGVzPjx0aXRsZT5DbGluaWNhbCBFeGFt
aW5hdGlvbiBDb21wb25lbnQgb2YgVGVsZW1lZGljaW5lLCBUZWxlaGVhbHRoLCBtSGVhbHRoLCBh
bmQgQ29ubmVjdGVkIEhlYWx0aCBNZWRpY2FsIFByYWN0aWNlczwvdGl0bGU+PHNlY29uZGFyeS10
aXRsZT5NZWQgQ2xpbiBOb3J0aCBBbTwvc2Vjb25kYXJ5LXRpdGxlPjwvdGl0bGVzPjxwZXJpb2Rp
Y2FsPjxmdWxsLXRpdGxlPk1lZCBDbGluIE5vcnRoIEFtPC9mdWxsLXRpdGxlPjwvcGVyaW9kaWNh
bD48cGFnZXM+NTMzLTU0NDwvcGFnZXM+PHZvbHVtZT4xMDI8L3ZvbHVtZT48bnVtYmVyPjM8L251
bWJlcj48ZWRpdGlvbj4yMDE4LzA0LzE0PC9lZGl0aW9uPjxrZXl3b3Jkcz48a2V5d29yZD5IdW1h
bnM8L2tleXdvcmQ+PGtleXdvcmQ+KlBoeXNpY2FsIEV4YW1pbmF0aW9uL21ldGhvZHMvc3RhbmRh
cmRzPC9rZXl3b3JkPjxrZXl3b3JkPipUZWxlbWVkaWNpbmUvbWV0aG9kcy9zdGFuZGFyZHM8L2tl
eXdvcmQ+PGtleXdvcmQ+Q29ubmVjdGVkIGhlYWx0aDwva2V5d29yZD48a2V5d29yZD5EaXJlY3Qt
dG8tY29uc3VtZXIgdGVsZWhlYWx0aCBjYXJlPC9rZXl3b3JkPjxrZXl3b3JkPlRlbGVoZWFsdGg8
L2tleXdvcmQ+PGtleXdvcmQ+VGVsZW1lZGljaW5lPC9rZXl3b3JkPjxrZXl3b3JkPmVIZWFsdGg8
L2tleXdvcmQ+PGtleXdvcmQ+bUhlYWx0aDwva2V5d29yZD48L2tleXdvcmRzPjxkYXRlcz48eWVh
cj4yMDE4PC95ZWFyPjxwdWItZGF0ZXM+PGRhdGU+TWF5PC9kYXRlPjwvcHViLWRhdGVzPjwvZGF0
ZXM+PGlzYm4+MDAyNS03MTI1PC9pc2JuPjxhY2Nlc3Npb24tbnVtPjI5NjUwMDc0PC9hY2Nlc3Np
b24tbnVtPjx1cmxzPjwvdXJscz48ZWxlY3Ryb25pYy1yZXNvdXJjZS1udW0+MTAuMTAxNi9qLm1j
bmEuMjAxOC4wMS4wMDI8L2VsZWN0cm9uaWMtcmVzb3VyY2UtbnVtPjxyZW1vdGUtZGF0YWJhc2Ut
cHJvdmlkZXI+TkxNPC9yZW1vdGUtZGF0YWJhc2UtcHJvdmlkZXI+PGxhbmd1YWdlPmVuZzwvbGFu
Z3VhZ2U+PC9yZWNvcmQ+PC9DaXRlPjxDaXRlPjxBdXRob3I+QmVuemlnZXI8L0F1dGhvcj48WWVh
cj4yMDIxPC9ZZWFyPjxSZWNOdW0+Mjk5NjwvUmVjTnVtPjxyZWNvcmQ+PHJlYy1udW1iZXI+Mjk5
NjwvcmVjLW51bWJlcj48Zm9yZWlnbi1rZXlzPjxrZXkgYXBwPSJFTiIgZGItaWQ9Inp4eHcwc2Rl
OTI1ZXdmZWZwYXdwZDJ0NzlzOXJzMjBwcDBlcyIgdGltZXN0YW1wPSIxNjIxNjExOTYxIj4yOTk2
PC9rZXk+PC9mb3JlaWduLWtleXM+PHJlZi10eXBlIG5hbWU9IkpvdXJuYWwgQXJ0aWNsZSI+MTc8
L3JlZi10eXBlPjxjb250cmlidXRvcnM+PGF1dGhvcnM+PGF1dGhvcj5CZW56aWdlciwgQ1A8L2F1
dGhvcj48YXV0aG9yPkh1ZmZtYW4sIE1EPC9hdXRob3I+PGF1dGhvcj5Td2VpcywgUk48L2F1dGhv
cj48YXV0aG9yPlN0b25lLCBOSjwvYXV0aG9yPjwvYXV0aG9ycz48L2NvbnRyaWJ1dG9ycz48dGl0
bGVzPjx0aXRsZT5UaGUgdGVsZWhlYWx0aCB0ZW46IEEgZ3VpZGUgZm9yIGEgcGF0aWVudC1hc3Np
c2VkIHZpcnR1YWwgcGh5c2ljYWwgZXhhbWluYXRpb248L3RpdGxlPjxzZWNvbmRhcnktdGl0bGU+
QW0gSiBNZWQgUXVhbDwvc2Vjb25kYXJ5LXRpdGxlPjwvdGl0bGVzPjxwZXJpb2RpY2FsPjxmdWxs
LXRpdGxlPkFtIEogTWVkIFF1YWw8L2Z1bGwtdGl0bGU+PC9wZXJpb2RpY2FsPjxwYWdlcz40OC01
MTwvcGFnZXM+PHZvbHVtZT4xMzQ8L3ZvbHVtZT48bnVtYmVyPjE8L251bWJlcj48ZGF0ZXM+PHll
YXI+MjAyMTwveWVhcj48L2RhdGVzPjx1cmxzPjwvdXJscz48L3JlY29yZD48L0NpdGU+PC9FbmRO
b3RlPgB=
</w:fldData>
        </w:fldChar>
      </w:r>
      <w:r w:rsidRPr="005C74FC">
        <w:rPr>
          <w:rFonts w:ascii="Arial" w:hAnsi="Arial" w:cs="Arial"/>
          <w:sz w:val="22"/>
          <w:szCs w:val="22"/>
        </w:rPr>
        <w:instrText xml:space="preserve"> ADDIN EN.CITE </w:instrText>
      </w:r>
      <w:r w:rsidRPr="005C74FC">
        <w:rPr>
          <w:rFonts w:ascii="Arial" w:hAnsi="Arial" w:cs="Arial"/>
          <w:sz w:val="22"/>
          <w:szCs w:val="22"/>
        </w:rPr>
        <w:fldChar w:fldCharType="begin">
          <w:fldData xml:space="preserve">PEVuZE5vdGU+PENpdGU+PEF1dGhvcj5WZWdlc25hPC9BdXRob3I+PFllYXI+MjAxNzwvWWVhcj48
UmVjTnVtPjM4NDwvUmVjTnVtPjxEaXNwbGF5VGV4dD4oMTYtMTgpPC9EaXNwbGF5VGV4dD48cmVj
b3JkPjxyZWMtbnVtYmVyPjM4NDwvcmVjLW51bWJlcj48Zm9yZWlnbi1rZXlzPjxrZXkgYXBwPSJF
TiIgZGItaWQ9Inp4eHcwc2RlOTI1ZXdmZWZwYXdwZDJ0NzlzOXJzMjBwcDBlcyIgdGltZXN0YW1w
PSIxNTk1MzU2OTc4Ij4zODQ8L2tleT48L2ZvcmVpZ24ta2V5cz48cmVmLXR5cGUgbmFtZT0iSm91
cm5hbCBBcnRpY2xlIj4xNzwvcmVmLXR5cGU+PGNvbnRyaWJ1dG9ycz48YXV0aG9ycz48YXV0aG9y
PlZlZ2VzbmEsIEEuPC9hdXRob3I+PGF1dGhvcj5UcmFuLCBNLjwvYXV0aG9yPjxhdXRob3I+QW5n
ZWxhY2NpbywgTS48L2F1dGhvcj48YXV0aG9yPkFyY29uYSwgUy48L2F1dGhvcj48L2F1dGhvcnM+
PC9jb250cmlidXRvcnM+PGF1dGgtYWRkcmVzcz4xIEplZmZlcnNvbiBDb2xsZWdlIG9mIFBvcHVs
YXRpb24gSGVhbHRoICwgUGhpbGFkZWxwaGlhLCBQZW5uc3lsdmFuaWEuJiN4RDsyIE5vdmFydGlz
IFBoYXJtYWNldXRpY2FscyBDb3Jwb3JhdGlvbiAsIEVhc3QgSGFub3ZlciwgTmV3IEplcnNleS4m
I3hEOzMgU2NvdHQgJmFtcDsgV2hpdGUgSGVhbHRoIFBsYW4gLCBUZW1wbGUsIFRleGFzLjwvYXV0
aC1hZGRyZXNzPjx0aXRsZXM+PHRpdGxlPlJlbW90ZSBQYXRpZW50IE1vbml0b3JpbmcgdmlhIE5v
bi1JbnZhc2l2ZSBEaWdpdGFsIFRlY2hub2xvZ2llczogQSBTeXN0ZW1hdGljIFJldmlldzwvdGl0
bGU+PHNlY29uZGFyeS10aXRsZT5UZWxlbWVkIEogRSBIZWFsdGg8L3NlY29uZGFyeS10aXRsZT48
L3RpdGxlcz48cGVyaW9kaWNhbD48ZnVsbC10aXRsZT5UZWxlbWVkIEogRSBIZWFsdGg8L2Z1bGwt
dGl0bGU+PC9wZXJpb2RpY2FsPjxwYWdlcz4zLTE3PC9wYWdlcz48dm9sdW1lPjIzPC92b2x1bWU+
PG51bWJlcj4xPC9udW1iZXI+PGVkaXRpb24+MjAxNi8wNC8yNzwvZWRpdGlvbj48a2V5d29yZHM+
PGtleXdvcmQ+Q2hyb25pYyBEaXNlYXNlPC9rZXl3b3JkPjxrZXl3b3JkPk1vbml0b3JpbmcsIEFt
YnVsYXRvcnkvKmluc3RydW1lbnRhdGlvbjwva2V5d29yZD48a2V5d29yZD5SZW1vdGUgU2Vuc2lu
ZyBUZWNobm9sb2d5LyppbnN0cnVtZW50YXRpb248L2tleXdvcmQ+PGtleXdvcmQ+VGVsZW1lZGlj
aW5lLyppbnN0cnVtZW50YXRpb248L2tleXdvcmQ+PGtleXdvcmQ+KmUtaGVhbHRoPC9rZXl3b3Jk
PjxrZXl3b3JkPiptLWhlYWx0aDwva2V5d29yZD48a2V5d29yZD4qdGVsZWhlYWx0aDwva2V5d29y
ZD48a2V5d29yZD4qdGVsZW1lZGljaW5lPC9rZXl3b3JkPjxrZXl3b3JkPmFuZCBhIFVTIEhFT1Ig
RmVsbG93IGF0IE5vdmFydGlzIFBoYXJtYWNldXRpY2FscyBDb3Jwb3JhdGlvbi4gTS5ULiBpcyBh
IHBvc3Rkb2N0b3JhbDwva2V5d29yZD48a2V5d29yZD5zdHVkZW50IGZyb20gU2NvdHQgJmFtcDsg
V2hpdGUgSGVhbHRoIFBsYW4sIFVuaXZlcnNpdHkgb2YgVGV4YXMgYXQgQXVzdGluIGFuZCBhIFVT
IEhFT1I8L2tleXdvcmQ+PGtleXdvcmQ+RmVsbG93IGF0IE5vdmFydGlzIFBoYXJtYWNldXRpY2Fs
cyBDb3Jwb3JhdGlvbi4gUy5BLiBhbmQgTS5BLiBhcmUgZW1wbG95ZWVzIG9mPC9rZXl3b3JkPjxr
ZXl3b3JkPk5vdmFydGlzIFBoYXJtYWNldXRpY2FscyBDb3Jwb3JhdGlvbi4gTm92YXJ0aXMgUGhh
cm1hY2V1dGljYWxzIENvcnBvcmF0aW9uIHByb3ZpZGVkPC9rZXl3b3JkPjxrZXl3b3JkPmZ1bmRp
bmcgZm9yIHRoaXMgd29yay48L2tleXdvcmQ+PC9rZXl3b3Jkcz48ZGF0ZXM+PHllYXI+MjAxNzwv
eWVhcj48cHViLWRhdGVzPjxkYXRlPkphbjwvZGF0ZT48L3B1Yi1kYXRlcz48L2RhdGVzPjxpc2Ju
PjE1MzAtNTYyNyAoUHJpbnQpJiN4RDsxNTMwLTU2Mjc8L2lzYm4+PGFjY2Vzc2lvbi1udW0+Mjcx
MTYxODE8L2FjY2Vzc2lvbi1udW0+PHVybHM+PC91cmxzPjxjdXN0b20yPlBNQzUyNDAwMTE8L2N1
c3RvbTI+PGVsZWN0cm9uaWMtcmVzb3VyY2UtbnVtPjEwLjEwODkvdG1qLjIwMTYuMDA1MTwvZWxl
Y3Ryb25pYy1yZXNvdXJjZS1udW0+PHJlbW90ZS1kYXRhYmFzZS1wcm92aWRlcj5OTE08L3JlbW90
ZS1kYXRhYmFzZS1wcm92aWRlcj48bGFuZ3VhZ2U+ZW5nPC9sYW5ndWFnZT48L3JlY29yZD48L0Np
dGU+PENpdGU+PEF1dGhvcj5XZWluc3RlaW48L0F1dGhvcj48WWVhcj4yMDE4PC9ZZWFyPjxSZWNO
dW0+MjQ4NDwvUmVjTnVtPjxyZWNvcmQ+PHJlYy1udW1iZXI+MjQ4NDwvcmVjLW51bWJlcj48Zm9y
ZWlnbi1rZXlzPjxrZXkgYXBwPSJFTiIgZGItaWQ9Inp4eHcwc2RlOTI1ZXdmZWZwYXdwZDJ0Nzlz
OXJzMjBwcDBlcyIgdGltZXN0YW1wPSIxNTk1NDM0NTU0Ij4yNDg0PC9rZXk+PC9mb3JlaWduLWtl
eXM+PHJlZi10eXBlIG5hbWU9IkpvdXJuYWwgQXJ0aWNsZSI+MTc8L3JlZi10eXBlPjxjb250cmli
dXRvcnM+PGF1dGhvcnM+PGF1dGhvcj5XZWluc3RlaW4sIFIuIFMuPC9hdXRob3I+PGF1dGhvcj5L
cnVwaW5za2ksIEUuIEEuPC9hdXRob3I+PGF1dGhvcj5Eb2FybiwgQy4gUi48L2F1dGhvcj48L2F1
dGhvcnM+PC9jb250cmlidXRvcnM+PGF1dGgtYWRkcmVzcz5Bcml6b25hIFRlbGVtZWRpY2luZSBQ
cm9ncmFtLCBVbml2ZXJzaXR5IG9mIEFyaXpvbmEgQ29sbGVnZSBvZiBNZWRpY2luZSwgMTUwMSBO
b3J0aCBDYW1wYmVsbCBBdmVudWUsIFR1Y3NvbiwgQVogODU3MjQsIFVTQS4gRWxlY3Ryb25pYyBh
ZGRyZXNzOiByd2VpbnN0ZWluQHRlbGVtZWRpY2luZS5hcml6b25hLmVkdS4mI3hEO0RlcGFydG1l
bnQgb2YgUmFkaW9sb2d5IGFuZCBJbWFnaW5nIFNjaWVuY2VzLCBFbW9yeSBVbml2ZXJzaXR5LCAx
MzY0IENsaWZ0b24gUm9hZCBOb3J0aGVhc3QgRDEwNywgQXRsYW50YSwgR0EgMzAzMjIsIFVTQS4m
I3hEO0RlcGFydG1lbnQgb2YgRmFtaWx5IGFuZCBDb21tdW5pdHkgTWVkaWNpbmUsIFVuaXZlcnNp
dHkgb2YgQ2luY2lubmF0aSwgMjMxIEFsYmVydCBTYWJpbiBXYXksIENpbmNpbm5hdGksIE9IIDQ1
MjY3LTA1ODIsIFVTQS48L2F1dGgtYWRkcmVzcz48dGl0bGVzPjx0aXRsZT5DbGluaWNhbCBFeGFt
aW5hdGlvbiBDb21wb25lbnQgb2YgVGVsZW1lZGljaW5lLCBUZWxlaGVhbHRoLCBtSGVhbHRoLCBh
bmQgQ29ubmVjdGVkIEhlYWx0aCBNZWRpY2FsIFByYWN0aWNlczwvdGl0bGU+PHNlY29uZGFyeS10
aXRsZT5NZWQgQ2xpbiBOb3J0aCBBbTwvc2Vjb25kYXJ5LXRpdGxlPjwvdGl0bGVzPjxwZXJpb2Rp
Y2FsPjxmdWxsLXRpdGxlPk1lZCBDbGluIE5vcnRoIEFtPC9mdWxsLXRpdGxlPjwvcGVyaW9kaWNh
bD48cGFnZXM+NTMzLTU0NDwvcGFnZXM+PHZvbHVtZT4xMDI8L3ZvbHVtZT48bnVtYmVyPjM8L251
bWJlcj48ZWRpdGlvbj4yMDE4LzA0LzE0PC9lZGl0aW9uPjxrZXl3b3Jkcz48a2V5d29yZD5IdW1h
bnM8L2tleXdvcmQ+PGtleXdvcmQ+KlBoeXNpY2FsIEV4YW1pbmF0aW9uL21ldGhvZHMvc3RhbmRh
cmRzPC9rZXl3b3JkPjxrZXl3b3JkPipUZWxlbWVkaWNpbmUvbWV0aG9kcy9zdGFuZGFyZHM8L2tl
eXdvcmQ+PGtleXdvcmQ+Q29ubmVjdGVkIGhlYWx0aDwva2V5d29yZD48a2V5d29yZD5EaXJlY3Qt
dG8tY29uc3VtZXIgdGVsZWhlYWx0aCBjYXJlPC9rZXl3b3JkPjxrZXl3b3JkPlRlbGVoZWFsdGg8
L2tleXdvcmQ+PGtleXdvcmQ+VGVsZW1lZGljaW5lPC9rZXl3b3JkPjxrZXl3b3JkPmVIZWFsdGg8
L2tleXdvcmQ+PGtleXdvcmQ+bUhlYWx0aDwva2V5d29yZD48L2tleXdvcmRzPjxkYXRlcz48eWVh
cj4yMDE4PC95ZWFyPjxwdWItZGF0ZXM+PGRhdGU+TWF5PC9kYXRlPjwvcHViLWRhdGVzPjwvZGF0
ZXM+PGlzYm4+MDAyNS03MTI1PC9pc2JuPjxhY2Nlc3Npb24tbnVtPjI5NjUwMDc0PC9hY2Nlc3Np
b24tbnVtPjx1cmxzPjwvdXJscz48ZWxlY3Ryb25pYy1yZXNvdXJjZS1udW0+MTAuMTAxNi9qLm1j
bmEuMjAxOC4wMS4wMDI8L2VsZWN0cm9uaWMtcmVzb3VyY2UtbnVtPjxyZW1vdGUtZGF0YWJhc2Ut
cHJvdmlkZXI+TkxNPC9yZW1vdGUtZGF0YWJhc2UtcHJvdmlkZXI+PGxhbmd1YWdlPmVuZzwvbGFu
Z3VhZ2U+PC9yZWNvcmQ+PC9DaXRlPjxDaXRlPjxBdXRob3I+QmVuemlnZXI8L0F1dGhvcj48WWVh
cj4yMDIxPC9ZZWFyPjxSZWNOdW0+Mjk5NjwvUmVjTnVtPjxyZWNvcmQ+PHJlYy1udW1iZXI+Mjk5
NjwvcmVjLW51bWJlcj48Zm9yZWlnbi1rZXlzPjxrZXkgYXBwPSJFTiIgZGItaWQ9Inp4eHcwc2Rl
OTI1ZXdmZWZwYXdwZDJ0NzlzOXJzMjBwcDBlcyIgdGltZXN0YW1wPSIxNjIxNjExOTYxIj4yOTk2
PC9rZXk+PC9mb3JlaWduLWtleXM+PHJlZi10eXBlIG5hbWU9IkpvdXJuYWwgQXJ0aWNsZSI+MTc8
L3JlZi10eXBlPjxjb250cmlidXRvcnM+PGF1dGhvcnM+PGF1dGhvcj5CZW56aWdlciwgQ1A8L2F1
dGhvcj48YXV0aG9yPkh1ZmZtYW4sIE1EPC9hdXRob3I+PGF1dGhvcj5Td2VpcywgUk48L2F1dGhv
cj48YXV0aG9yPlN0b25lLCBOSjwvYXV0aG9yPjwvYXV0aG9ycz48L2NvbnRyaWJ1dG9ycz48dGl0
bGVzPjx0aXRsZT5UaGUgdGVsZWhlYWx0aCB0ZW46IEEgZ3VpZGUgZm9yIGEgcGF0aWVudC1hc3Np
c2VkIHZpcnR1YWwgcGh5c2ljYWwgZXhhbWluYXRpb248L3RpdGxlPjxzZWNvbmRhcnktdGl0bGU+
QW0gSiBNZWQgUXVhbDwvc2Vjb25kYXJ5LXRpdGxlPjwvdGl0bGVzPjxwZXJpb2RpY2FsPjxmdWxs
LXRpdGxlPkFtIEogTWVkIFF1YWw8L2Z1bGwtdGl0bGU+PC9wZXJpb2RpY2FsPjxwYWdlcz40OC01
MTwvcGFnZXM+PHZvbHVtZT4xMzQ8L3ZvbHVtZT48bnVtYmVyPjE8L251bWJlcj48ZGF0ZXM+PHll
YXI+MjAyMTwveWVhcj48L2RhdGVzPjx1cmxzPjwvdXJscz48L3JlY29yZD48L0NpdGU+PC9FbmRO
b3RlPgB=
</w:fldData>
        </w:fldChar>
      </w:r>
      <w:r w:rsidRPr="005C74FC">
        <w:rPr>
          <w:rFonts w:ascii="Arial" w:hAnsi="Arial" w:cs="Arial"/>
          <w:sz w:val="22"/>
          <w:szCs w:val="22"/>
        </w:rPr>
        <w:instrText xml:space="preserve"> ADDIN EN.CITE.DATA </w:instrText>
      </w:r>
      <w:r w:rsidRPr="005C74FC">
        <w:rPr>
          <w:rFonts w:ascii="Arial" w:hAnsi="Arial" w:cs="Arial"/>
          <w:sz w:val="22"/>
          <w:szCs w:val="22"/>
        </w:rPr>
      </w:r>
      <w:r w:rsidRPr="005C74FC">
        <w:rPr>
          <w:rFonts w:ascii="Arial" w:hAnsi="Arial" w:cs="Arial"/>
          <w:sz w:val="22"/>
          <w:szCs w:val="22"/>
        </w:rPr>
        <w:fldChar w:fldCharType="end"/>
      </w:r>
      <w:r w:rsidRPr="005C74FC">
        <w:rPr>
          <w:rFonts w:ascii="Arial" w:hAnsi="Arial" w:cs="Arial"/>
          <w:sz w:val="22"/>
          <w:szCs w:val="22"/>
        </w:rPr>
      </w:r>
      <w:r w:rsidRPr="005C74FC">
        <w:rPr>
          <w:rFonts w:ascii="Arial" w:hAnsi="Arial" w:cs="Arial"/>
          <w:sz w:val="22"/>
          <w:szCs w:val="22"/>
        </w:rPr>
        <w:fldChar w:fldCharType="separate"/>
      </w:r>
      <w:r w:rsidRPr="005C74FC">
        <w:rPr>
          <w:rFonts w:ascii="Arial" w:hAnsi="Arial" w:cs="Arial"/>
          <w:sz w:val="22"/>
          <w:szCs w:val="22"/>
        </w:rPr>
        <w:t>(16-18)</w:t>
      </w:r>
      <w:r w:rsidRPr="005C74FC">
        <w:rPr>
          <w:rFonts w:ascii="Arial" w:hAnsi="Arial" w:cs="Arial"/>
          <w:sz w:val="22"/>
          <w:szCs w:val="22"/>
        </w:rPr>
        <w:fldChar w:fldCharType="end"/>
      </w:r>
      <w:r w:rsidRPr="005C74FC">
        <w:rPr>
          <w:rFonts w:ascii="Arial" w:hAnsi="Arial" w:cs="Arial"/>
          <w:sz w:val="22"/>
          <w:szCs w:val="22"/>
        </w:rPr>
        <w:t xml:space="preserve">  Asking the patient to jump up and down recreates the opportunity to assess for ‘rebound tenderness’ seen in peritonitis, having them lift cans of soup or detergent </w:t>
      </w:r>
    </w:p>
    <w:p w14:paraId="5CBE7FE4" w14:textId="651E2FD1" w:rsidR="005C74FC" w:rsidRPr="005C74FC" w:rsidRDefault="005C74FC" w:rsidP="005C74FC">
      <w:pPr>
        <w:pStyle w:val="body"/>
        <w:spacing w:line="276" w:lineRule="auto"/>
        <w:rPr>
          <w:rFonts w:ascii="Arial" w:hAnsi="Arial" w:cs="Arial"/>
          <w:sz w:val="22"/>
          <w:szCs w:val="22"/>
        </w:rPr>
      </w:pPr>
      <w:r w:rsidRPr="005C74FC">
        <w:rPr>
          <w:rFonts w:ascii="Arial" w:hAnsi="Arial" w:cs="Arial"/>
          <w:sz w:val="22"/>
          <w:szCs w:val="22"/>
        </w:rPr>
        <w:t>gives some idea of muscle strength, and having them get close to the screen may provide enough illumination to examine the mouth.  A guideline for the virtual ‘ENT’ (ears, nose, and throat) examination illustrates the guidance that is emerging,</w:t>
      </w:r>
      <w:r w:rsidRPr="005C74FC">
        <w:rPr>
          <w:rFonts w:ascii="Arial" w:hAnsi="Arial" w:cs="Arial"/>
          <w:sz w:val="22"/>
          <w:szCs w:val="22"/>
        </w:rPr>
        <w:fldChar w:fldCharType="begin"/>
      </w:r>
      <w:r w:rsidRPr="005C74FC">
        <w:rPr>
          <w:rFonts w:ascii="Arial" w:hAnsi="Arial" w:cs="Arial"/>
          <w:sz w:val="22"/>
          <w:szCs w:val="22"/>
        </w:rPr>
        <w:instrText xml:space="preserve"> ADDIN EN.CITE &lt;EndNote&gt;&lt;Cite&gt;&lt;Author&gt;McCool&lt;/Author&gt;&lt;Year&gt;2020&lt;/Year&gt;&lt;RecNum&gt;2995&lt;/RecNum&gt;&lt;DisplayText&gt;(19)&lt;/DisplayText&gt;&lt;record&gt;&lt;rec-number&gt;2995&lt;/rec-number&gt;&lt;foreign-keys&gt;&lt;key app="EN" db-id="zxxw0sde925ewfefpawpd2t79s9rs20pp0es" timestamp="1621610405"&gt;2995&lt;/key&gt;&lt;/foreign-keys&gt;&lt;ref-type name="Journal Article"&gt;17&lt;/ref-type&gt;&lt;contributors&gt;&lt;authors&gt;&lt;author&gt;McCool, ED&lt;/author&gt;&lt;/authors&gt;&lt;/contributors&gt;&lt;titles&gt;&lt;title&gt;Grasping What We Cannot Teach; Examining the Telemedicine Patient&lt;/title&gt;&lt;secondary-title&gt;JAMA Otolaryngology&lt;/secondary-title&gt;&lt;/titles&gt;&lt;periodical&gt;&lt;full-title&gt;JAMA Otolaryngology&lt;/full-title&gt;&lt;/periodical&gt;&lt;pages&gt;685-6&lt;/pages&gt;&lt;volume&gt;146&lt;/volume&gt;&lt;number&gt;8&lt;/number&gt;&lt;dates&gt;&lt;year&gt;2020&lt;/year&gt;&lt;/dates&gt;&lt;urls&gt;&lt;/urls&gt;&lt;/record&gt;&lt;/Cite&gt;&lt;/EndNote&gt;</w:instrText>
      </w:r>
      <w:r w:rsidRPr="005C74FC">
        <w:rPr>
          <w:rFonts w:ascii="Arial" w:hAnsi="Arial" w:cs="Arial"/>
          <w:sz w:val="22"/>
          <w:szCs w:val="22"/>
        </w:rPr>
        <w:fldChar w:fldCharType="separate"/>
      </w:r>
      <w:r w:rsidRPr="005C74FC">
        <w:rPr>
          <w:rFonts w:ascii="Arial" w:hAnsi="Arial" w:cs="Arial"/>
          <w:sz w:val="22"/>
          <w:szCs w:val="22"/>
        </w:rPr>
        <w:t>(19)</w:t>
      </w:r>
      <w:r w:rsidRPr="005C74FC">
        <w:rPr>
          <w:rFonts w:ascii="Arial" w:hAnsi="Arial" w:cs="Arial"/>
          <w:sz w:val="22"/>
          <w:szCs w:val="22"/>
        </w:rPr>
        <w:fldChar w:fldCharType="end"/>
      </w:r>
      <w:r w:rsidRPr="005C74FC">
        <w:rPr>
          <w:rFonts w:ascii="Arial" w:hAnsi="Arial" w:cs="Arial"/>
          <w:sz w:val="22"/>
          <w:szCs w:val="22"/>
        </w:rPr>
        <w:t xml:space="preserve"> and advice is now available for a virtual orthopedic examination as well.</w:t>
      </w:r>
      <w:r w:rsidRPr="005C74FC">
        <w:rPr>
          <w:rFonts w:ascii="Arial" w:hAnsi="Arial" w:cs="Arial"/>
          <w:sz w:val="22"/>
          <w:szCs w:val="22"/>
        </w:rPr>
        <w:fldChar w:fldCharType="begin"/>
      </w:r>
      <w:r w:rsidRPr="005C74FC">
        <w:rPr>
          <w:rFonts w:ascii="Arial" w:hAnsi="Arial" w:cs="Arial"/>
          <w:sz w:val="22"/>
          <w:szCs w:val="22"/>
        </w:rPr>
        <w:instrText xml:space="preserve"> ADDIN EN.CITE &lt;EndNote&gt;&lt;Cite&gt;&lt;Author&gt;Tanaka&lt;/Author&gt;&lt;Year&gt;2020&lt;/Year&gt;&lt;RecNum&gt;1040&lt;/RecNum&gt;&lt;DisplayText&gt;(20)&lt;/DisplayText&gt;&lt;record&gt;&lt;rec-number&gt;1040&lt;/rec-number&gt;&lt;foreign-keys&gt;&lt;key app="EN" db-id="zxxw0sde925ewfefpawpd2t79s9rs20pp0es" timestamp="1595372499"&gt;1040&lt;/key&gt;&lt;/foreign-keys&gt;&lt;ref-type name="Journal Article"&gt;17&lt;/ref-type&gt;&lt;contributors&gt;&lt;authors&gt;&lt;author&gt;Tanaka, M. J.&lt;/author&gt;&lt;author&gt;Oh, L. S.&lt;/author&gt;&lt;author&gt;Martin, S. D.&lt;/author&gt;&lt;author&gt;Berkson, E. M.&lt;/author&gt;&lt;/authors&gt;&lt;/contributors&gt;&lt;auth-address&gt;MGH Sports Medicine Service, Department of Orthopaedic Surgery, Massachusetts General Hospital, Boston, Massachusetts.&amp;#xD;Harvard Medical School, Boston, Massachusetts.&lt;/auth-address&gt;&lt;titles&gt;&lt;title&gt;Telemedicine in the Era of COVID-19: The Virtual Orthopaedic Examination&lt;/title&gt;&lt;secondary-title&gt;J Bone Joint Surg Am&lt;/secondary-title&gt;&lt;/titles&gt;&lt;periodical&gt;&lt;full-title&gt;J Bone Joint Surg Am&lt;/full-title&gt;&lt;/periodical&gt;&lt;pages&gt;e57&lt;/pages&gt;&lt;volume&gt;102&lt;/volume&gt;&lt;number&gt;12&lt;/number&gt;&lt;edition&gt;2020/04/29&lt;/edition&gt;&lt;keywords&gt;&lt;keyword&gt;*Betacoronavirus&lt;/keyword&gt;&lt;keyword&gt;*Coronavirus Infections&lt;/keyword&gt;&lt;keyword&gt;Humans&lt;/keyword&gt;&lt;keyword&gt;*Orthopedics&lt;/keyword&gt;&lt;keyword&gt;*Pandemics&lt;/keyword&gt;&lt;keyword&gt;*Physical Examination&lt;/keyword&gt;&lt;keyword&gt;*Pneumonia, Viral&lt;/keyword&gt;&lt;keyword&gt;*Telemedicine&lt;/keyword&gt;&lt;/keywords&gt;&lt;dates&gt;&lt;year&gt;2020&lt;/year&gt;&lt;pub-dates&gt;&lt;date&gt;Jun 17&lt;/date&gt;&lt;/pub-dates&gt;&lt;/dates&gt;&lt;isbn&gt;0021-9355 (Print)&amp;#xD;0021-9355&lt;/isbn&gt;&lt;accession-num&gt;32341311&lt;/accession-num&gt;&lt;urls&gt;&lt;/urls&gt;&lt;custom2&gt;PMC7224627&lt;/custom2&gt;&lt;electronic-resource-num&gt;10.2106/jbjs.20.00609&lt;/electronic-resource-num&gt;&lt;remote-database-provider&gt;NLM&lt;/remote-database-provider&gt;&lt;language&gt;eng&lt;/language&gt;&lt;/record&gt;&lt;/Cite&gt;&lt;/EndNote&gt;</w:instrText>
      </w:r>
      <w:r w:rsidRPr="005C74FC">
        <w:rPr>
          <w:rFonts w:ascii="Arial" w:hAnsi="Arial" w:cs="Arial"/>
          <w:sz w:val="22"/>
          <w:szCs w:val="22"/>
        </w:rPr>
        <w:fldChar w:fldCharType="separate"/>
      </w:r>
      <w:r w:rsidRPr="005C74FC">
        <w:rPr>
          <w:rFonts w:ascii="Arial" w:hAnsi="Arial" w:cs="Arial"/>
          <w:sz w:val="22"/>
          <w:szCs w:val="22"/>
        </w:rPr>
        <w:t>(20)</w:t>
      </w:r>
      <w:r w:rsidRPr="005C74FC">
        <w:rPr>
          <w:rFonts w:ascii="Arial" w:hAnsi="Arial" w:cs="Arial"/>
          <w:sz w:val="22"/>
          <w:szCs w:val="22"/>
        </w:rPr>
        <w:fldChar w:fldCharType="end"/>
      </w:r>
    </w:p>
    <w:p w14:paraId="40DD748D" w14:textId="77777777" w:rsidR="0036751A" w:rsidRDefault="0036751A" w:rsidP="00A65A09">
      <w:pPr>
        <w:pStyle w:val="body"/>
        <w:spacing w:line="276" w:lineRule="auto"/>
        <w:rPr>
          <w:rFonts w:ascii="Arial" w:hAnsi="Arial" w:cs="Arial"/>
          <w:sz w:val="22"/>
          <w:szCs w:val="22"/>
        </w:rPr>
      </w:pPr>
    </w:p>
    <w:p w14:paraId="08C3AB4E" w14:textId="77777777" w:rsidR="007646B5" w:rsidRDefault="007646B5" w:rsidP="00A65A09">
      <w:pPr>
        <w:pStyle w:val="body"/>
        <w:spacing w:line="276" w:lineRule="auto"/>
        <w:rPr>
          <w:rFonts w:ascii="Arial" w:hAnsi="Arial" w:cs="Arial"/>
          <w:sz w:val="22"/>
          <w:szCs w:val="22"/>
        </w:rPr>
      </w:pPr>
    </w:p>
    <w:p w14:paraId="328B8448" w14:textId="51ECE96C" w:rsidR="00D54F87" w:rsidRPr="0018091E" w:rsidRDefault="00C72CC7" w:rsidP="00A65A09">
      <w:pPr>
        <w:pStyle w:val="body"/>
        <w:spacing w:line="276" w:lineRule="auto"/>
        <w:rPr>
          <w:rFonts w:ascii="Arial" w:hAnsi="Arial" w:cs="Arial"/>
          <w:sz w:val="22"/>
          <w:szCs w:val="22"/>
        </w:rPr>
      </w:pPr>
      <w:r>
        <w:rPr>
          <w:rFonts w:ascii="Arial" w:hAnsi="Arial" w:cs="Arial"/>
          <w:noProof/>
          <w:sz w:val="20"/>
          <w:szCs w:val="20"/>
        </w:rPr>
        <w:object w:dxaOrig="1440" w:dyaOrig="1440" w14:anchorId="616BDB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12.75pt;margin-top:142.35pt;width:488.55pt;height:203.1pt;z-index:251688960;mso-wrap-edited:f;mso-width-percent:0;mso-height-percent:0;mso-position-horizontal-relative:text;mso-position-vertical-relative:text;mso-width-percent:0;mso-height-percent:0">
            <v:imagedata r:id="rId8" o:title=""/>
          </v:shape>
          <o:OLEObject Type="Embed" ProgID="Excel.Sheet.12" ShapeID="_x0000_s1026" DrawAspect="Content" ObjectID="_1687847460" r:id="rId9"/>
        </w:object>
      </w:r>
      <w:r w:rsidR="005C74FC" w:rsidRPr="005C74FC">
        <w:rPr>
          <w:rFonts w:ascii="Arial" w:hAnsi="Arial" w:cs="Arial"/>
          <w:sz w:val="22"/>
          <w:szCs w:val="22"/>
        </w:rPr>
        <w:t>In terms of devices, the progress being made inventing devices to enable an at-home neurological examination provides a fascinating peak at what lies ahead.</w:t>
      </w:r>
      <w:r w:rsidR="005C74FC" w:rsidRPr="005C74FC">
        <w:rPr>
          <w:rFonts w:ascii="Arial" w:hAnsi="Arial" w:cs="Arial"/>
          <w:sz w:val="22"/>
          <w:szCs w:val="22"/>
        </w:rPr>
        <w:fldChar w:fldCharType="begin"/>
      </w:r>
      <w:r w:rsidR="005C74FC" w:rsidRPr="005C74FC">
        <w:rPr>
          <w:rFonts w:ascii="Arial" w:hAnsi="Arial" w:cs="Arial"/>
          <w:sz w:val="22"/>
          <w:szCs w:val="22"/>
        </w:rPr>
        <w:instrText xml:space="preserve"> ADDIN EN.CITE &lt;EndNote&gt;&lt;Cite&gt;&lt;Author&gt;Cohen&lt;/Author&gt;&lt;Year&gt;2021&lt;/Year&gt;&lt;RecNum&gt;2982&lt;/RecNum&gt;&lt;DisplayText&gt;(21)&lt;/DisplayText&gt;&lt;record&gt;&lt;rec-number&gt;2982&lt;/rec-number&gt;&lt;foreign-keys&gt;&lt;key app="EN" db-id="zxxw0sde925ewfefpawpd2t79s9rs20pp0es" timestamp="1621369220"&gt;2982&lt;/key&gt;&lt;/foreign-keys&gt;&lt;ref-type name="Journal Article"&gt;17&lt;/ref-type&gt;&lt;contributors&gt;&lt;authors&gt;&lt;author&gt;Cohen, AB&lt;/author&gt;&lt;author&gt;Nahed, BV&lt;/author&gt;&lt;/authors&gt;&lt;/contributors&gt;&lt;titles&gt;&lt;title&gt;The digital neurological examination&lt;/title&gt;&lt;secondary-title&gt;Digit Biomark&lt;/secondary-title&gt;&lt;/titles&gt;&lt;periodical&gt;&lt;full-title&gt;Digit Biomark&lt;/full-title&gt;&lt;/periodical&gt;&lt;pages&gt;114-25&lt;/pages&gt;&lt;volume&gt;5&lt;/volume&gt;&lt;dates&gt;&lt;year&gt;2021&lt;/year&gt;&lt;/dates&gt;&lt;urls&gt;&lt;/urls&gt;&lt;/record&gt;&lt;/Cite&gt;&lt;/EndNote&gt;</w:instrText>
      </w:r>
      <w:r w:rsidR="005C74FC" w:rsidRPr="005C74FC">
        <w:rPr>
          <w:rFonts w:ascii="Arial" w:hAnsi="Arial" w:cs="Arial"/>
          <w:sz w:val="22"/>
          <w:szCs w:val="22"/>
        </w:rPr>
        <w:fldChar w:fldCharType="separate"/>
      </w:r>
      <w:r w:rsidR="005C74FC" w:rsidRPr="005C74FC">
        <w:rPr>
          <w:rFonts w:ascii="Arial" w:hAnsi="Arial" w:cs="Arial"/>
          <w:sz w:val="22"/>
          <w:szCs w:val="22"/>
        </w:rPr>
        <w:t>(21)</w:t>
      </w:r>
      <w:r w:rsidR="005C74FC" w:rsidRPr="005C74FC">
        <w:rPr>
          <w:rFonts w:ascii="Arial" w:hAnsi="Arial" w:cs="Arial"/>
          <w:sz w:val="22"/>
          <w:szCs w:val="22"/>
        </w:rPr>
        <w:fldChar w:fldCharType="end"/>
      </w:r>
      <w:r w:rsidR="005C74FC" w:rsidRPr="005C74FC">
        <w:rPr>
          <w:rFonts w:ascii="Arial" w:hAnsi="Arial" w:cs="Arial"/>
          <w:sz w:val="22"/>
          <w:szCs w:val="22"/>
        </w:rPr>
        <w:t xml:space="preserve">  One’s brainwaves can be measured with an EEG-enabled headband, your mental status with one of many different apps, your motor function with wrist-based actigraphy, and AI-enabled voice processing can tell if you have Parkinson’s disease.  The progress is summarized in </w:t>
      </w:r>
      <w:r w:rsidR="005C74FC" w:rsidRPr="005C74FC">
        <w:rPr>
          <w:rFonts w:ascii="Arial" w:hAnsi="Arial" w:cs="Arial"/>
          <w:b/>
          <w:bCs/>
          <w:sz w:val="22"/>
          <w:szCs w:val="22"/>
        </w:rPr>
        <w:t>Figure 1</w:t>
      </w:r>
      <w:r w:rsidR="005C74FC" w:rsidRPr="005C74FC">
        <w:rPr>
          <w:rFonts w:ascii="Arial" w:hAnsi="Arial" w:cs="Arial"/>
          <w:sz w:val="22"/>
          <w:szCs w:val="22"/>
        </w:rPr>
        <w:t>, which illustrates the state-of-readiness of devices to address each step of the neurological examination.  These various instruments will …‘…move beyond traditional video</w:t>
      </w:r>
      <w:r w:rsidR="006E37AC" w:rsidRPr="0018091E">
        <w:rPr>
          <w:rFonts w:ascii="Arial" w:hAnsi="Arial" w:cs="Arial"/>
          <w:sz w:val="22"/>
          <w:szCs w:val="22"/>
        </w:rPr>
        <w:t>-</w:t>
      </w:r>
      <w:r w:rsidR="005C74FC" w:rsidRPr="005C74FC">
        <w:rPr>
          <w:rFonts w:ascii="Arial" w:hAnsi="Arial" w:cs="Arial"/>
          <w:sz w:val="22"/>
          <w:szCs w:val="22"/>
        </w:rPr>
        <w:t>based telemedicine encounters’ in a major way.  ‘ A future suite of these clinical assessment technologies will blur the lines between history taking, examination, and remote-monitoring’.</w:t>
      </w:r>
      <w:r w:rsidR="005C74FC" w:rsidRPr="005C74FC">
        <w:rPr>
          <w:rFonts w:ascii="Arial" w:hAnsi="Arial" w:cs="Arial"/>
          <w:sz w:val="22"/>
          <w:szCs w:val="22"/>
        </w:rPr>
        <w:fldChar w:fldCharType="begin"/>
      </w:r>
      <w:r w:rsidR="005C74FC" w:rsidRPr="005C74FC">
        <w:rPr>
          <w:rFonts w:ascii="Arial" w:hAnsi="Arial" w:cs="Arial"/>
          <w:sz w:val="22"/>
          <w:szCs w:val="22"/>
        </w:rPr>
        <w:instrText xml:space="preserve"> ADDIN EN.CITE &lt;EndNote&gt;&lt;Cite&gt;&lt;Author&gt;Cohen&lt;/Author&gt;&lt;Year&gt;2021&lt;/Year&gt;&lt;RecNum&gt;2982&lt;/RecNum&gt;&lt;DisplayText&gt;(21)&lt;/DisplayText&gt;&lt;record&gt;&lt;rec-number&gt;2982&lt;/rec-number&gt;&lt;foreign-keys&gt;&lt;key app="EN" db-id="zxxw0sde925ewfefpawpd2t79s9rs20pp0es" timestamp="1621369220"&gt;2982&lt;/key&gt;&lt;/foreign-keys&gt;&lt;ref-type name="Journal Article"&gt;17&lt;/ref-type&gt;&lt;contributors&gt;&lt;authors&gt;&lt;author&gt;Cohen, AB&lt;/author&gt;&lt;author&gt;Nahed, BV&lt;/author&gt;&lt;/authors&gt;&lt;/contributors&gt;&lt;titles&gt;&lt;title&gt;The digital neurological examination&lt;/title&gt;&lt;secondary-title&gt;Digit Biomark&lt;/secondary-title&gt;&lt;/titles&gt;&lt;periodical&gt;&lt;full-title&gt;Digit Biomark&lt;/full-title&gt;&lt;/periodical&gt;&lt;pages&gt;114-25&lt;/pages&gt;&lt;volume&gt;5&lt;/volume&gt;&lt;dates&gt;&lt;year&gt;2021&lt;/year&gt;&lt;/dates&gt;&lt;urls&gt;&lt;/urls&gt;&lt;/record&gt;&lt;/Cite&gt;&lt;/EndNote&gt;</w:instrText>
      </w:r>
      <w:r w:rsidR="005C74FC" w:rsidRPr="005C74FC">
        <w:rPr>
          <w:rFonts w:ascii="Arial" w:hAnsi="Arial" w:cs="Arial"/>
          <w:sz w:val="22"/>
          <w:szCs w:val="22"/>
        </w:rPr>
        <w:fldChar w:fldCharType="separate"/>
      </w:r>
      <w:r w:rsidR="005C74FC" w:rsidRPr="005C74FC">
        <w:rPr>
          <w:rFonts w:ascii="Arial" w:hAnsi="Arial" w:cs="Arial"/>
          <w:sz w:val="22"/>
          <w:szCs w:val="22"/>
        </w:rPr>
        <w:t>(21)</w:t>
      </w:r>
      <w:r w:rsidR="005C74FC" w:rsidRPr="005C74FC">
        <w:rPr>
          <w:rFonts w:ascii="Arial" w:hAnsi="Arial" w:cs="Arial"/>
          <w:sz w:val="22"/>
          <w:szCs w:val="22"/>
        </w:rPr>
        <w:fldChar w:fldCharType="end"/>
      </w:r>
    </w:p>
    <w:p w14:paraId="00C146DA" w14:textId="33162A0D" w:rsidR="006E37AC" w:rsidRDefault="006E37AC" w:rsidP="00A65A09">
      <w:pPr>
        <w:pStyle w:val="body"/>
        <w:spacing w:line="276" w:lineRule="auto"/>
        <w:rPr>
          <w:rFonts w:ascii="Arial" w:hAnsi="Arial" w:cs="Arial"/>
          <w:sz w:val="20"/>
          <w:szCs w:val="20"/>
        </w:rPr>
      </w:pPr>
    </w:p>
    <w:p w14:paraId="3B5C7921" w14:textId="2E72F338" w:rsidR="006E37AC" w:rsidRDefault="006E37AC" w:rsidP="00A65A09">
      <w:pPr>
        <w:pStyle w:val="body"/>
        <w:spacing w:line="276" w:lineRule="auto"/>
        <w:rPr>
          <w:rFonts w:ascii="Arial" w:hAnsi="Arial" w:cs="Arial"/>
          <w:sz w:val="20"/>
          <w:szCs w:val="20"/>
        </w:rPr>
      </w:pPr>
    </w:p>
    <w:p w14:paraId="36633CE6" w14:textId="0B6B3C91" w:rsidR="003D1470" w:rsidRPr="003D1470" w:rsidRDefault="003D1470" w:rsidP="003D1470">
      <w:pPr>
        <w:pStyle w:val="body"/>
        <w:spacing w:line="276" w:lineRule="auto"/>
        <w:rPr>
          <w:rFonts w:ascii="Arial" w:hAnsi="Arial" w:cs="Arial"/>
          <w:sz w:val="20"/>
          <w:szCs w:val="20"/>
        </w:rPr>
      </w:pPr>
    </w:p>
    <w:p w14:paraId="537F4AF6" w14:textId="41E98D47" w:rsidR="0018091E" w:rsidRDefault="0018091E" w:rsidP="00A65A09">
      <w:pPr>
        <w:pStyle w:val="body"/>
        <w:spacing w:line="276" w:lineRule="auto"/>
        <w:rPr>
          <w:rFonts w:ascii="Arial" w:hAnsi="Arial" w:cs="Arial"/>
          <w:b/>
          <w:bCs/>
          <w:sz w:val="20"/>
          <w:szCs w:val="20"/>
        </w:rPr>
      </w:pPr>
    </w:p>
    <w:p w14:paraId="1CAD6EBF" w14:textId="46F4A866" w:rsidR="0018091E" w:rsidRDefault="0018091E" w:rsidP="00A65A09">
      <w:pPr>
        <w:pStyle w:val="body"/>
        <w:spacing w:line="276" w:lineRule="auto"/>
        <w:rPr>
          <w:rFonts w:ascii="Arial" w:hAnsi="Arial" w:cs="Arial"/>
          <w:b/>
          <w:bCs/>
          <w:sz w:val="20"/>
          <w:szCs w:val="20"/>
        </w:rPr>
      </w:pPr>
    </w:p>
    <w:p w14:paraId="3DD1E008" w14:textId="5351A072" w:rsidR="0018091E" w:rsidRDefault="0018091E" w:rsidP="00A65A09">
      <w:pPr>
        <w:pStyle w:val="body"/>
        <w:spacing w:line="276" w:lineRule="auto"/>
        <w:rPr>
          <w:rFonts w:ascii="Arial" w:hAnsi="Arial" w:cs="Arial"/>
          <w:b/>
          <w:bCs/>
          <w:sz w:val="20"/>
          <w:szCs w:val="20"/>
        </w:rPr>
      </w:pPr>
    </w:p>
    <w:p w14:paraId="21DE456E" w14:textId="77777777" w:rsidR="0018091E" w:rsidRDefault="0018091E" w:rsidP="00A65A09">
      <w:pPr>
        <w:pStyle w:val="body"/>
        <w:spacing w:line="276" w:lineRule="auto"/>
        <w:rPr>
          <w:rFonts w:ascii="Arial" w:hAnsi="Arial" w:cs="Arial"/>
          <w:b/>
          <w:bCs/>
          <w:sz w:val="20"/>
          <w:szCs w:val="20"/>
        </w:rPr>
      </w:pPr>
    </w:p>
    <w:p w14:paraId="78E40F4A" w14:textId="77777777" w:rsidR="0018091E" w:rsidRDefault="0018091E" w:rsidP="00A65A09">
      <w:pPr>
        <w:pStyle w:val="body"/>
        <w:spacing w:line="276" w:lineRule="auto"/>
        <w:rPr>
          <w:rFonts w:ascii="Arial" w:hAnsi="Arial" w:cs="Arial"/>
          <w:b/>
          <w:bCs/>
          <w:sz w:val="20"/>
          <w:szCs w:val="20"/>
        </w:rPr>
      </w:pPr>
    </w:p>
    <w:p w14:paraId="029C5176" w14:textId="77777777" w:rsidR="0018091E" w:rsidRDefault="0018091E" w:rsidP="00A65A09">
      <w:pPr>
        <w:pStyle w:val="body"/>
        <w:spacing w:line="276" w:lineRule="auto"/>
        <w:rPr>
          <w:rFonts w:ascii="Arial" w:hAnsi="Arial" w:cs="Arial"/>
          <w:b/>
          <w:bCs/>
          <w:sz w:val="20"/>
          <w:szCs w:val="20"/>
        </w:rPr>
      </w:pPr>
    </w:p>
    <w:p w14:paraId="2237A92B" w14:textId="77777777" w:rsidR="0018091E" w:rsidRDefault="0018091E" w:rsidP="00A65A09">
      <w:pPr>
        <w:pStyle w:val="body"/>
        <w:spacing w:line="276" w:lineRule="auto"/>
        <w:rPr>
          <w:rFonts w:ascii="Arial" w:hAnsi="Arial" w:cs="Arial"/>
          <w:b/>
          <w:bCs/>
          <w:sz w:val="20"/>
          <w:szCs w:val="20"/>
        </w:rPr>
      </w:pPr>
    </w:p>
    <w:p w14:paraId="5C99967C" w14:textId="23F8FE11" w:rsidR="003D1470" w:rsidRPr="0018091E" w:rsidRDefault="003D1470" w:rsidP="00A65A09">
      <w:pPr>
        <w:pStyle w:val="body"/>
        <w:spacing w:line="276" w:lineRule="auto"/>
        <w:rPr>
          <w:rFonts w:ascii="Arial" w:hAnsi="Arial" w:cs="Arial"/>
          <w:b/>
          <w:bCs/>
          <w:sz w:val="21"/>
          <w:szCs w:val="21"/>
        </w:rPr>
      </w:pPr>
      <w:r w:rsidRPr="003D1470">
        <w:rPr>
          <w:rFonts w:ascii="Arial" w:hAnsi="Arial" w:cs="Arial"/>
          <w:b/>
          <w:bCs/>
          <w:sz w:val="21"/>
          <w:szCs w:val="21"/>
        </w:rPr>
        <w:t>Figure 1:  The state of readiness of devices to allow a virtual neurological</w:t>
      </w:r>
      <w:r w:rsidR="0018091E" w:rsidRPr="0018091E">
        <w:rPr>
          <w:rFonts w:ascii="Arial" w:hAnsi="Arial" w:cs="Arial"/>
          <w:b/>
          <w:bCs/>
          <w:sz w:val="21"/>
          <w:szCs w:val="21"/>
        </w:rPr>
        <w:t xml:space="preserve"> </w:t>
      </w:r>
      <w:r w:rsidRPr="003D1470">
        <w:rPr>
          <w:rFonts w:ascii="Arial" w:hAnsi="Arial" w:cs="Arial"/>
          <w:b/>
          <w:bCs/>
          <w:sz w:val="21"/>
          <w:szCs w:val="21"/>
        </w:rPr>
        <w:t>examination</w:t>
      </w:r>
      <w:r w:rsidRPr="003D1470">
        <w:rPr>
          <w:rFonts w:ascii="Arial" w:hAnsi="Arial" w:cs="Arial"/>
          <w:b/>
          <w:bCs/>
          <w:sz w:val="21"/>
          <w:szCs w:val="21"/>
        </w:rPr>
        <w:fldChar w:fldCharType="begin"/>
      </w:r>
      <w:r w:rsidRPr="003D1470">
        <w:rPr>
          <w:rFonts w:ascii="Arial" w:hAnsi="Arial" w:cs="Arial"/>
          <w:b/>
          <w:bCs/>
          <w:sz w:val="21"/>
          <w:szCs w:val="21"/>
        </w:rPr>
        <w:instrText xml:space="preserve"> ADDIN EN.CITE &lt;EndNote&gt;&lt;Cite&gt;&lt;Author&gt;Cohen&lt;/Author&gt;&lt;Year&gt;2021&lt;/Year&gt;&lt;RecNum&gt;2982&lt;/RecNum&gt;&lt;DisplayText&gt;(21)&lt;/DisplayText&gt;&lt;record&gt;&lt;rec-number&gt;2982&lt;/rec-number&gt;&lt;foreign-keys&gt;&lt;key app="EN" db-id="zxxw0sde925ewfefpawpd2t79s9rs20pp0es" timestamp="1621369220"&gt;2982&lt;/key&gt;&lt;/foreign-keys&gt;&lt;ref-type name="Journal Article"&gt;17&lt;/ref-type&gt;&lt;contributors&gt;&lt;authors&gt;&lt;author&gt;Cohen, AB&lt;/author&gt;&lt;author&gt;Nahed, BV&lt;/author&gt;&lt;/authors&gt;&lt;/contributors&gt;&lt;titles&gt;&lt;title&gt;The digital neurological examination&lt;/title&gt;&lt;secondary-title&gt;Digit Biomark&lt;/secondary-title&gt;&lt;/titles&gt;&lt;periodical&gt;&lt;full-title&gt;Digit Biomark&lt;/full-title&gt;&lt;/periodical&gt;&lt;pages&gt;114-25&lt;/pages&gt;&lt;volume&gt;5&lt;/volume&gt;&lt;dates&gt;&lt;year&gt;2021&lt;/year&gt;&lt;/dates&gt;&lt;urls&gt;&lt;/urls&gt;&lt;/record&gt;&lt;/Cite&gt;&lt;/EndNote&gt;</w:instrText>
      </w:r>
      <w:r w:rsidRPr="003D1470">
        <w:rPr>
          <w:rFonts w:ascii="Arial" w:hAnsi="Arial" w:cs="Arial"/>
          <w:b/>
          <w:bCs/>
          <w:sz w:val="21"/>
          <w:szCs w:val="21"/>
        </w:rPr>
        <w:fldChar w:fldCharType="separate"/>
      </w:r>
      <w:r w:rsidRPr="003D1470">
        <w:rPr>
          <w:rFonts w:ascii="Arial" w:hAnsi="Arial" w:cs="Arial"/>
          <w:b/>
          <w:bCs/>
          <w:sz w:val="21"/>
          <w:szCs w:val="21"/>
        </w:rPr>
        <w:t>(21)</w:t>
      </w:r>
      <w:r w:rsidRPr="003D1470">
        <w:rPr>
          <w:rFonts w:ascii="Arial" w:hAnsi="Arial" w:cs="Arial"/>
          <w:sz w:val="21"/>
          <w:szCs w:val="21"/>
        </w:rPr>
        <w:fldChar w:fldCharType="end"/>
      </w:r>
    </w:p>
    <w:p w14:paraId="2A36B1AF" w14:textId="474334C1" w:rsidR="00A65A09" w:rsidRPr="0018091E" w:rsidRDefault="00A65A09" w:rsidP="00A65A09">
      <w:pPr>
        <w:pStyle w:val="body"/>
        <w:spacing w:line="276" w:lineRule="auto"/>
        <w:rPr>
          <w:rFonts w:ascii="Arial" w:hAnsi="Arial" w:cs="Arial"/>
          <w:sz w:val="22"/>
          <w:szCs w:val="22"/>
        </w:rPr>
      </w:pPr>
      <w:r w:rsidRPr="0018091E">
        <w:rPr>
          <w:rFonts w:ascii="Arial" w:hAnsi="Arial" w:cs="Arial"/>
          <w:b/>
          <w:bCs/>
          <w:color w:val="B79E38"/>
          <w:sz w:val="22"/>
          <w:szCs w:val="22"/>
        </w:rPr>
        <w:t>What we heard:</w:t>
      </w:r>
      <w:r w:rsidR="00C324FF" w:rsidRPr="0018091E">
        <w:rPr>
          <w:rFonts w:ascii="Arial" w:hAnsi="Arial" w:cs="Arial"/>
          <w:sz w:val="22"/>
          <w:szCs w:val="22"/>
        </w:rPr>
        <w:t xml:space="preserve"> </w:t>
      </w:r>
      <w:r w:rsidR="003D1470" w:rsidRPr="0018091E">
        <w:rPr>
          <w:rFonts w:ascii="Arial" w:hAnsi="Arial" w:cs="Arial"/>
          <w:sz w:val="22"/>
          <w:szCs w:val="22"/>
        </w:rPr>
        <w:t>Again, the experiences and sentiments from the discussants mirrored many of those captured in the literature.  There are simply aspects of in-person encounters that cannot be effectively replicated with virtual tools, like examining lymph nodes, or touching a patient’s shoulder after a worrisome discussion.   However, telehealth providers pointed out that virtual care can also improve on in-person care.  As an example, consider the advantages of  asynchronous telemedicine tools that enable remote patient monitoring over time:  A record of a patient’s cardiac rhythms obtained over a period of weeks is a big improvement over the electrocardiogram obtained at one point of time in the doctor’s office.  One telehealth provider shared how their platform improved patient education; allowing them to deliver pre-surgical</w:t>
      </w:r>
      <w:r w:rsidR="0036751A">
        <w:rPr>
          <w:rFonts w:ascii="Arial" w:hAnsi="Arial" w:cs="Arial"/>
          <w:sz w:val="22"/>
          <w:szCs w:val="22"/>
        </w:rPr>
        <w:t xml:space="preserve"> </w:t>
      </w:r>
      <w:r w:rsidR="003D1470" w:rsidRPr="0018091E">
        <w:rPr>
          <w:rFonts w:ascii="Arial" w:hAnsi="Arial" w:cs="Arial"/>
          <w:sz w:val="22"/>
          <w:szCs w:val="22"/>
        </w:rPr>
        <w:t>educational materials in a patient’s native language before they reported for surgery; this type of technology could be valuable for diagnostic testing and preparation.</w:t>
      </w:r>
    </w:p>
    <w:p w14:paraId="0C64690E" w14:textId="77777777" w:rsidR="0036751A" w:rsidRDefault="003D1470" w:rsidP="003D1470">
      <w:pPr>
        <w:pStyle w:val="body"/>
        <w:spacing w:line="276" w:lineRule="auto"/>
        <w:rPr>
          <w:rFonts w:ascii="Arial" w:hAnsi="Arial" w:cs="Arial"/>
          <w:sz w:val="22"/>
          <w:szCs w:val="22"/>
        </w:rPr>
      </w:pPr>
      <w:r w:rsidRPr="003D1470">
        <w:rPr>
          <w:rFonts w:ascii="Arial" w:hAnsi="Arial" w:cs="Arial"/>
          <w:sz w:val="22"/>
          <w:szCs w:val="22"/>
        </w:rPr>
        <w:t xml:space="preserve">Experts from the quality and safety space advocated for a common nomenclature and syntax, arguing that this is a foundational need for capturing relevant data about the safety and quality of telemedicine.  To be correctly analyzed and interpreted,  data will need to be segmented by </w:t>
      </w:r>
    </w:p>
    <w:p w14:paraId="544B7CD0" w14:textId="77777777" w:rsidR="0036751A" w:rsidRDefault="0036751A" w:rsidP="003D1470">
      <w:pPr>
        <w:pStyle w:val="body"/>
        <w:spacing w:line="276" w:lineRule="auto"/>
        <w:rPr>
          <w:rFonts w:ascii="Arial" w:hAnsi="Arial" w:cs="Arial"/>
          <w:sz w:val="22"/>
          <w:szCs w:val="22"/>
        </w:rPr>
      </w:pPr>
    </w:p>
    <w:p w14:paraId="7188BB01" w14:textId="77777777" w:rsidR="0036751A" w:rsidRDefault="0036751A" w:rsidP="003D1470">
      <w:pPr>
        <w:pStyle w:val="body"/>
        <w:spacing w:line="276" w:lineRule="auto"/>
        <w:rPr>
          <w:rFonts w:ascii="Arial" w:hAnsi="Arial" w:cs="Arial"/>
          <w:sz w:val="22"/>
          <w:szCs w:val="22"/>
        </w:rPr>
      </w:pPr>
    </w:p>
    <w:p w14:paraId="19950F46" w14:textId="6F00173F" w:rsidR="003D1470" w:rsidRPr="003D1470" w:rsidRDefault="003D1470" w:rsidP="003D1470">
      <w:pPr>
        <w:pStyle w:val="body"/>
        <w:spacing w:line="276" w:lineRule="auto"/>
        <w:rPr>
          <w:rFonts w:ascii="Arial" w:hAnsi="Arial" w:cs="Arial"/>
          <w:sz w:val="22"/>
          <w:szCs w:val="22"/>
        </w:rPr>
      </w:pPr>
      <w:r w:rsidRPr="003D1470">
        <w:rPr>
          <w:rFonts w:ascii="Arial" w:hAnsi="Arial" w:cs="Arial"/>
          <w:sz w:val="22"/>
          <w:szCs w:val="22"/>
        </w:rPr>
        <w:t xml:space="preserve">what it describes—the experience of using the technology, or the experience of providing/receiving clinical care?   </w:t>
      </w:r>
    </w:p>
    <w:p w14:paraId="5FF7A55F" w14:textId="5304B920" w:rsidR="003D1470" w:rsidRPr="0018091E" w:rsidRDefault="003D1470" w:rsidP="003D1470">
      <w:pPr>
        <w:pStyle w:val="body"/>
        <w:spacing w:line="276" w:lineRule="auto"/>
        <w:ind w:right="-90"/>
        <w:rPr>
          <w:rFonts w:ascii="Arial" w:hAnsi="Arial" w:cs="Arial"/>
          <w:noProof/>
          <w:sz w:val="22"/>
          <w:szCs w:val="22"/>
        </w:rPr>
      </w:pPr>
      <w:r w:rsidRPr="0018091E">
        <w:rPr>
          <w:rFonts w:ascii="Arial" w:hAnsi="Arial" w:cs="Arial"/>
          <w:noProof/>
          <w:sz w:val="22"/>
          <w:szCs w:val="22"/>
        </w:rPr>
        <w:t xml:space="preserve">Despite all of the advancements being made with devices, there were concerns expressed about realistically assessing limitations with things like smart watches or other devices used during a telediagnostic process.  It is imperative to be able to determine if a device is or is not working properly, and how it has been calibrated.  Overconfidence with these types of devices can bring a false sense of security. </w:t>
      </w:r>
    </w:p>
    <w:p w14:paraId="6BAE69F9" w14:textId="09EDD98D" w:rsidR="006E37AC" w:rsidRPr="006E37AC" w:rsidRDefault="006E37AC" w:rsidP="006E37AC">
      <w:pPr>
        <w:suppressAutoHyphens/>
        <w:autoSpaceDE w:val="0"/>
        <w:autoSpaceDN w:val="0"/>
        <w:adjustRightInd w:val="0"/>
        <w:spacing w:before="240" w:after="90" w:line="276" w:lineRule="auto"/>
        <w:textAlignment w:val="center"/>
        <w:rPr>
          <w:rFonts w:ascii="Arial" w:eastAsiaTheme="minorHAnsi" w:hAnsi="Arial" w:cs="Arial"/>
          <w:color w:val="000000"/>
          <w:sz w:val="22"/>
          <w:szCs w:val="22"/>
        </w:rPr>
      </w:pPr>
      <w:r w:rsidRPr="006E37AC">
        <w:rPr>
          <w:rFonts w:ascii="Arial" w:eastAsiaTheme="minorHAnsi" w:hAnsi="Arial" w:cs="Arial"/>
          <w:color w:val="000000"/>
          <w:sz w:val="22"/>
          <w:szCs w:val="22"/>
        </w:rPr>
        <w:t>Finally, the impact of telemedicine on how providers practice and interact with patients was a key feature of our conversations.  Discussants shared that, with the new landscape of telemedicine it is even more important that the person managing patient phone calls in the “front office” has some sort of clinical training.  These calls have become more of a triage tool than a simple scheduling option.  An RN who uses a telehealth platform along with remote monitoring technology shared that using these tools allows her to “practice at the top of (her) license” and support patients to better coordinate their care across multiple providers and encounters.</w:t>
      </w:r>
    </w:p>
    <w:p w14:paraId="5F58D6FF" w14:textId="659FBA92" w:rsidR="00A65A09" w:rsidRPr="005159F5" w:rsidRDefault="005159F5" w:rsidP="00D54F87">
      <w:pPr>
        <w:suppressAutoHyphens/>
        <w:autoSpaceDE w:val="0"/>
        <w:autoSpaceDN w:val="0"/>
        <w:adjustRightInd w:val="0"/>
        <w:spacing w:before="240" w:after="90" w:line="288" w:lineRule="auto"/>
        <w:textAlignment w:val="center"/>
        <w:rPr>
          <w:rFonts w:ascii="Arial" w:hAnsi="Arial" w:cs="Arial"/>
          <w:b/>
          <w:bCs/>
          <w:color w:val="000063"/>
          <w:sz w:val="28"/>
          <w:szCs w:val="28"/>
        </w:rPr>
      </w:pPr>
      <w:r>
        <w:rPr>
          <w:rFonts w:ascii="Arial" w:hAnsi="Arial" w:cs="Arial"/>
          <w:b/>
          <w:bCs/>
          <w:color w:val="000063"/>
          <w:sz w:val="28"/>
          <w:szCs w:val="28"/>
        </w:rPr>
        <w:t>Adoption</w:t>
      </w:r>
      <w:r w:rsidR="006E37AC">
        <w:rPr>
          <w:rFonts w:ascii="Arial" w:hAnsi="Arial" w:cs="Arial"/>
          <w:b/>
          <w:bCs/>
          <w:color w:val="000063"/>
          <w:sz w:val="28"/>
          <w:szCs w:val="28"/>
        </w:rPr>
        <w:t xml:space="preserve"> and Implementation</w:t>
      </w:r>
    </w:p>
    <w:p w14:paraId="3C82E1B2" w14:textId="690CCCB7" w:rsidR="006E37AC" w:rsidRPr="006E37AC" w:rsidRDefault="00A65A09" w:rsidP="006E37AC">
      <w:pPr>
        <w:pStyle w:val="body"/>
        <w:spacing w:line="276" w:lineRule="auto"/>
        <w:ind w:right="-90"/>
        <w:rPr>
          <w:rFonts w:ascii="Arial" w:hAnsi="Arial" w:cs="Arial"/>
          <w:color w:val="000000" w:themeColor="text1"/>
          <w:sz w:val="22"/>
          <w:szCs w:val="22"/>
        </w:rPr>
      </w:pPr>
      <w:r w:rsidRPr="0018091E">
        <w:rPr>
          <w:rFonts w:ascii="Arial" w:hAnsi="Arial" w:cs="Arial"/>
          <w:b/>
          <w:bCs/>
          <w:color w:val="B79E38"/>
          <w:sz w:val="22"/>
          <w:szCs w:val="22"/>
        </w:rPr>
        <w:t>Key findings from the literature:</w:t>
      </w:r>
      <w:r w:rsidR="00C324FF" w:rsidRPr="0018091E">
        <w:rPr>
          <w:rFonts w:ascii="Arial" w:hAnsi="Arial" w:cs="Arial"/>
          <w:b/>
          <w:bCs/>
          <w:color w:val="B79E38"/>
          <w:sz w:val="22"/>
          <w:szCs w:val="22"/>
        </w:rPr>
        <w:t xml:space="preserve"> </w:t>
      </w:r>
      <w:r w:rsidR="006E37AC" w:rsidRPr="0018091E">
        <w:rPr>
          <w:rFonts w:ascii="Arial" w:hAnsi="Arial" w:cs="Arial"/>
          <w:color w:val="000000" w:themeColor="text1"/>
          <w:sz w:val="22"/>
          <w:szCs w:val="22"/>
        </w:rPr>
        <w:t xml:space="preserve">Telehealth flourished in 2020 thanks to a complex set of waivers, accommodations, and ‘flexibilities’ to existing payment rules, licensure restrictions, and both state and federal regulations.  As an example, HIPAA waivers allowed virtual telehealth visits over the telephone, a practice that would have been precluded in other years over security concerns.   </w:t>
      </w:r>
    </w:p>
    <w:p w14:paraId="0419339F" w14:textId="71E7FFF0" w:rsidR="006E37AC" w:rsidRPr="0018091E" w:rsidRDefault="006E37AC" w:rsidP="006E37AC">
      <w:pPr>
        <w:pStyle w:val="body"/>
        <w:spacing w:line="276" w:lineRule="auto"/>
        <w:ind w:right="-90"/>
        <w:rPr>
          <w:rFonts w:ascii="Arial" w:hAnsi="Arial" w:cs="Arial"/>
          <w:color w:val="000000" w:themeColor="text1"/>
          <w:sz w:val="22"/>
          <w:szCs w:val="22"/>
        </w:rPr>
      </w:pPr>
      <w:r w:rsidRPr="006E37AC">
        <w:rPr>
          <w:rFonts w:ascii="Arial" w:hAnsi="Arial" w:cs="Arial"/>
          <w:color w:val="000000" w:themeColor="text1"/>
          <w:sz w:val="22"/>
          <w:szCs w:val="22"/>
        </w:rPr>
        <w:t xml:space="preserve">Accommodations to support telehealth varied widely across the states.  California and Virginia were called out as role models in enabling telehealth.  Their efforts involved aggressively addressing the many barriers to telehealth usage and working with Medicare to expand access opportunities.  Another 30+ states enacted regulations to ensure financial parity for telehealth care.  State regulations governing licensure meant that many telehealth clinicians were restricted to ‘seeing’ patients just in their own state. </w:t>
      </w:r>
    </w:p>
    <w:p w14:paraId="7F6A9B8C" w14:textId="69C14317" w:rsidR="006E37AC" w:rsidRPr="006E37AC" w:rsidRDefault="006E37AC" w:rsidP="006E37AC">
      <w:pPr>
        <w:pStyle w:val="body"/>
        <w:spacing w:line="276" w:lineRule="auto"/>
        <w:ind w:right="-90"/>
        <w:rPr>
          <w:rFonts w:ascii="Arial" w:hAnsi="Arial" w:cs="Arial"/>
          <w:color w:val="000000" w:themeColor="text1"/>
          <w:sz w:val="22"/>
          <w:szCs w:val="22"/>
        </w:rPr>
      </w:pPr>
      <w:r w:rsidRPr="006E37AC">
        <w:rPr>
          <w:rFonts w:ascii="Arial" w:hAnsi="Arial" w:cs="Arial"/>
          <w:color w:val="000000" w:themeColor="text1"/>
          <w:sz w:val="22"/>
          <w:szCs w:val="22"/>
        </w:rPr>
        <w:t xml:space="preserve">Two other key issues will also need to be considered and resolved if telehealth is to continue full-speed-ahead: </w:t>
      </w:r>
      <w:r w:rsidRPr="006E37AC">
        <w:rPr>
          <w:rFonts w:ascii="Arial" w:hAnsi="Arial" w:cs="Arial"/>
          <w:color w:val="000000" w:themeColor="text1"/>
          <w:sz w:val="22"/>
          <w:szCs w:val="22"/>
        </w:rPr>
        <w:fldChar w:fldCharType="begin"/>
      </w:r>
      <w:r w:rsidRPr="006E37AC">
        <w:rPr>
          <w:rFonts w:ascii="Arial" w:hAnsi="Arial" w:cs="Arial"/>
          <w:color w:val="000000" w:themeColor="text1"/>
          <w:sz w:val="22"/>
          <w:szCs w:val="22"/>
        </w:rPr>
        <w:instrText xml:space="preserve"> ADDIN EN.CITE &lt;EndNote&gt;&lt;Cite&gt;&lt;Author&gt;The Doctors Company&lt;/Author&gt;&lt;Year&gt;2020&lt;/Year&gt;&lt;RecNum&gt;2991&lt;/RecNum&gt;&lt;DisplayText&gt;(9)&lt;/DisplayText&gt;&lt;record&gt;&lt;rec-number&gt;2991&lt;/rec-number&gt;&lt;foreign-keys&gt;&lt;key app="EN" db-id="zxxw0sde925ewfefpawpd2t79s9rs20pp0es" timestamp="1621433330"&gt;2991&lt;/key&gt;&lt;/foreign-keys&gt;&lt;ref-type name="Journal Article"&gt;17&lt;/ref-type&gt;&lt;contributors&gt;&lt;authors&gt;&lt;author&gt;The Doctors Company,&lt;/author&gt;&lt;/authors&gt;&lt;/contributors&gt;&lt;titles&gt;&lt;title&gt;The Risks and Benefits of Telehealth in the Future of Healthcare&lt;/title&gt;&lt;secondary-title&gt;Available at: thedoctors.com&lt;/secondary-title&gt;&lt;/titles&gt;&lt;periodical&gt;&lt;full-title&gt;Available at: thedoctors.com&lt;/full-title&gt;&lt;/periodical&gt;&lt;dates&gt;&lt;year&gt;2020&lt;/year&gt;&lt;/dates&gt;&lt;urls&gt;&lt;/urls&gt;&lt;/record&gt;&lt;/Cite&gt;&lt;/EndNote&gt;</w:instrText>
      </w:r>
      <w:r w:rsidRPr="006E37AC">
        <w:rPr>
          <w:rFonts w:ascii="Arial" w:hAnsi="Arial" w:cs="Arial"/>
          <w:color w:val="000000" w:themeColor="text1"/>
          <w:sz w:val="22"/>
          <w:szCs w:val="22"/>
        </w:rPr>
        <w:fldChar w:fldCharType="separate"/>
      </w:r>
      <w:r w:rsidRPr="006E37AC">
        <w:rPr>
          <w:rFonts w:ascii="Arial" w:hAnsi="Arial" w:cs="Arial"/>
          <w:color w:val="000000" w:themeColor="text1"/>
          <w:sz w:val="22"/>
          <w:szCs w:val="22"/>
        </w:rPr>
        <w:t>(9)</w:t>
      </w:r>
      <w:r w:rsidRPr="006E37AC">
        <w:rPr>
          <w:rFonts w:ascii="Arial" w:hAnsi="Arial" w:cs="Arial"/>
          <w:color w:val="000000" w:themeColor="text1"/>
          <w:sz w:val="22"/>
          <w:szCs w:val="22"/>
        </w:rPr>
        <w:fldChar w:fldCharType="end"/>
      </w:r>
    </w:p>
    <w:p w14:paraId="37DE498A" w14:textId="0CB5DEB8" w:rsidR="006E37AC" w:rsidRPr="006E37AC" w:rsidRDefault="006E37AC" w:rsidP="006E37AC">
      <w:pPr>
        <w:pStyle w:val="body"/>
        <w:spacing w:line="276" w:lineRule="auto"/>
        <w:ind w:right="-90"/>
        <w:rPr>
          <w:rFonts w:ascii="Arial" w:hAnsi="Arial" w:cs="Arial"/>
          <w:color w:val="000000" w:themeColor="text1"/>
          <w:sz w:val="22"/>
          <w:szCs w:val="22"/>
        </w:rPr>
      </w:pPr>
      <w:r w:rsidRPr="006E37AC">
        <w:rPr>
          <w:rFonts w:ascii="Arial" w:hAnsi="Arial" w:cs="Arial"/>
          <w:color w:val="000000" w:themeColor="text1"/>
          <w:sz w:val="22"/>
          <w:szCs w:val="22"/>
          <w:u w:val="single"/>
        </w:rPr>
        <w:t>Liability</w:t>
      </w:r>
      <w:r w:rsidRPr="006E37AC">
        <w:rPr>
          <w:rFonts w:ascii="Arial" w:hAnsi="Arial" w:cs="Arial"/>
          <w:color w:val="000000" w:themeColor="text1"/>
          <w:sz w:val="22"/>
          <w:szCs w:val="22"/>
        </w:rPr>
        <w:t xml:space="preserve">    </w:t>
      </w:r>
      <w:proofErr w:type="spellStart"/>
      <w:r w:rsidRPr="006E37AC">
        <w:rPr>
          <w:rFonts w:ascii="Arial" w:hAnsi="Arial" w:cs="Arial"/>
          <w:color w:val="000000" w:themeColor="text1"/>
          <w:sz w:val="22"/>
          <w:szCs w:val="22"/>
        </w:rPr>
        <w:t>Cyberliability</w:t>
      </w:r>
      <w:proofErr w:type="spellEnd"/>
      <w:r w:rsidRPr="006E37AC">
        <w:rPr>
          <w:rFonts w:ascii="Arial" w:hAnsi="Arial" w:cs="Arial"/>
          <w:color w:val="000000" w:themeColor="text1"/>
          <w:sz w:val="22"/>
          <w:szCs w:val="22"/>
        </w:rPr>
        <w:t xml:space="preserve"> is a whole new area of concern.  .Limitations in performing a physical examination, for example, exposes providers to the risk of missing something important. </w:t>
      </w:r>
    </w:p>
    <w:p w14:paraId="5E0D9E33" w14:textId="36920B95" w:rsidR="006E37AC" w:rsidRPr="006E37AC" w:rsidRDefault="006E37AC" w:rsidP="006E37AC">
      <w:pPr>
        <w:pStyle w:val="body"/>
        <w:spacing w:line="276" w:lineRule="auto"/>
        <w:ind w:right="-90"/>
        <w:rPr>
          <w:rFonts w:ascii="Arial" w:hAnsi="Arial" w:cs="Arial"/>
          <w:color w:val="000000" w:themeColor="text1"/>
          <w:sz w:val="22"/>
          <w:szCs w:val="22"/>
        </w:rPr>
      </w:pPr>
      <w:r w:rsidRPr="006E37AC">
        <w:rPr>
          <w:rFonts w:ascii="Arial" w:hAnsi="Arial" w:cs="Arial"/>
          <w:color w:val="000000" w:themeColor="text1"/>
          <w:sz w:val="22"/>
          <w:szCs w:val="22"/>
          <w:u w:val="single"/>
        </w:rPr>
        <w:t>Privacy and security</w:t>
      </w:r>
      <w:r w:rsidRPr="006E37AC">
        <w:rPr>
          <w:rFonts w:ascii="Arial" w:hAnsi="Arial" w:cs="Arial"/>
          <w:color w:val="000000" w:themeColor="text1"/>
          <w:sz w:val="22"/>
          <w:szCs w:val="22"/>
        </w:rPr>
        <w:t xml:space="preserve">  </w:t>
      </w:r>
      <w:r w:rsidRPr="006E37AC">
        <w:rPr>
          <w:rFonts w:ascii="Arial" w:hAnsi="Arial" w:cs="Arial"/>
          <w:color w:val="000000" w:themeColor="text1"/>
          <w:sz w:val="22"/>
          <w:szCs w:val="22"/>
        </w:rPr>
        <w:tab/>
        <w:t>An extensive set of HIPAA regulations help ensure privacy and</w:t>
      </w:r>
      <w:r w:rsidR="0036751A">
        <w:rPr>
          <w:rFonts w:ascii="Arial" w:hAnsi="Arial" w:cs="Arial"/>
          <w:color w:val="000000" w:themeColor="text1"/>
          <w:sz w:val="22"/>
          <w:szCs w:val="22"/>
        </w:rPr>
        <w:t xml:space="preserve"> </w:t>
      </w:r>
      <w:r w:rsidRPr="006E37AC">
        <w:rPr>
          <w:rFonts w:ascii="Arial" w:hAnsi="Arial" w:cs="Arial"/>
          <w:color w:val="000000" w:themeColor="text1"/>
          <w:sz w:val="22"/>
          <w:szCs w:val="22"/>
        </w:rPr>
        <w:t>confidentiality of patient information used in healthcare.  How do these regulations apply to virtual encounters?  How can patient privacy be protected when so many different communication avenues are being employed, and the normal workflows of healthcare are disrupted?</w:t>
      </w:r>
    </w:p>
    <w:p w14:paraId="0BC1A54C" w14:textId="77777777" w:rsidR="0036751A" w:rsidRDefault="0036751A" w:rsidP="006E37AC">
      <w:pPr>
        <w:pStyle w:val="body"/>
        <w:spacing w:line="276" w:lineRule="auto"/>
        <w:ind w:right="-90"/>
        <w:rPr>
          <w:rFonts w:ascii="Arial" w:hAnsi="Arial" w:cs="Arial"/>
          <w:color w:val="000000" w:themeColor="text1"/>
          <w:sz w:val="22"/>
          <w:szCs w:val="22"/>
        </w:rPr>
      </w:pPr>
    </w:p>
    <w:p w14:paraId="254C5968" w14:textId="77777777" w:rsidR="00063CA9" w:rsidRDefault="00063CA9" w:rsidP="006E37AC">
      <w:pPr>
        <w:pStyle w:val="body"/>
        <w:spacing w:line="276" w:lineRule="auto"/>
        <w:ind w:right="-90"/>
        <w:rPr>
          <w:rFonts w:ascii="Arial" w:hAnsi="Arial" w:cs="Arial"/>
          <w:color w:val="000000" w:themeColor="text1"/>
          <w:sz w:val="22"/>
          <w:szCs w:val="22"/>
        </w:rPr>
      </w:pPr>
    </w:p>
    <w:p w14:paraId="4B7AFC7E" w14:textId="3A8F44BA" w:rsidR="006E37AC" w:rsidRPr="006E37AC" w:rsidRDefault="00063CA9" w:rsidP="006E37AC">
      <w:pPr>
        <w:pStyle w:val="body"/>
        <w:spacing w:line="276" w:lineRule="auto"/>
        <w:ind w:right="-90"/>
        <w:rPr>
          <w:rFonts w:ascii="Arial" w:hAnsi="Arial" w:cs="Arial"/>
          <w:color w:val="000000" w:themeColor="text1"/>
          <w:sz w:val="22"/>
          <w:szCs w:val="22"/>
        </w:rPr>
      </w:pPr>
      <w:r w:rsidRPr="0018091E">
        <w:rPr>
          <w:noProof/>
          <w:sz w:val="32"/>
          <w:szCs w:val="32"/>
        </w:rPr>
        <mc:AlternateContent>
          <mc:Choice Requires="wps">
            <w:drawing>
              <wp:anchor distT="0" distB="0" distL="114300" distR="114300" simplePos="0" relativeHeight="251684864" behindDoc="0" locked="0" layoutInCell="1" allowOverlap="1" wp14:anchorId="6C8A36CB" wp14:editId="6C9CF11E">
                <wp:simplePos x="0" y="0"/>
                <wp:positionH relativeFrom="column">
                  <wp:posOffset>-19957</wp:posOffset>
                </wp:positionH>
                <wp:positionV relativeFrom="paragraph">
                  <wp:posOffset>1019901</wp:posOffset>
                </wp:positionV>
                <wp:extent cx="5897880" cy="2349500"/>
                <wp:effectExtent l="12700" t="12700" r="20320" b="25400"/>
                <wp:wrapNone/>
                <wp:docPr id="12" name="Text Box 12"/>
                <wp:cNvGraphicFramePr/>
                <a:graphic xmlns:a="http://schemas.openxmlformats.org/drawingml/2006/main">
                  <a:graphicData uri="http://schemas.microsoft.com/office/word/2010/wordprocessingShape">
                    <wps:wsp>
                      <wps:cNvSpPr txBox="1"/>
                      <wps:spPr>
                        <a:xfrm>
                          <a:off x="0" y="0"/>
                          <a:ext cx="5897880" cy="2349500"/>
                        </a:xfrm>
                        <a:prstGeom prst="rect">
                          <a:avLst/>
                        </a:prstGeom>
                        <a:solidFill>
                          <a:schemeClr val="accent6">
                            <a:lumMod val="20000"/>
                            <a:lumOff val="80000"/>
                          </a:schemeClr>
                        </a:solidFill>
                        <a:ln w="31750">
                          <a:solidFill>
                            <a:schemeClr val="accent5">
                              <a:lumMod val="50000"/>
                            </a:schemeClr>
                          </a:solidFill>
                        </a:ln>
                      </wps:spPr>
                      <wps:txbx>
                        <w:txbxContent>
                          <w:p w14:paraId="5B58DE20" w14:textId="77777777" w:rsidR="006E37AC" w:rsidRDefault="006E37AC" w:rsidP="006E37AC">
                            <w:pPr>
                              <w:rPr>
                                <w:b/>
                                <w:bCs/>
                              </w:rPr>
                            </w:pPr>
                          </w:p>
                          <w:p w14:paraId="7B4E6815" w14:textId="77777777" w:rsidR="006E37AC" w:rsidRDefault="006E37AC" w:rsidP="006E37AC">
                            <w:pPr>
                              <w:jc w:val="center"/>
                              <w:rPr>
                                <w:b/>
                                <w:bCs/>
                              </w:rPr>
                            </w:pPr>
                            <w:r w:rsidRPr="00191555">
                              <w:rPr>
                                <w:noProof/>
                              </w:rPr>
                              <w:drawing>
                                <wp:inline distT="0" distB="0" distL="0" distR="0" wp14:anchorId="1C9E5A62" wp14:editId="06F03A7A">
                                  <wp:extent cx="1041941" cy="10341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79716" cy="1071635"/>
                                          </a:xfrm>
                                          <a:prstGeom prst="rect">
                                            <a:avLst/>
                                          </a:prstGeom>
                                        </pic:spPr>
                                      </pic:pic>
                                    </a:graphicData>
                                  </a:graphic>
                                </wp:inline>
                              </w:drawing>
                            </w:r>
                          </w:p>
                          <w:p w14:paraId="09FBF481" w14:textId="77777777" w:rsidR="006E37AC" w:rsidRDefault="006E37AC" w:rsidP="006E37AC">
                            <w:pPr>
                              <w:rPr>
                                <w:b/>
                                <w:bCs/>
                              </w:rPr>
                            </w:pPr>
                          </w:p>
                          <w:p w14:paraId="21DFAA8B" w14:textId="77777777" w:rsidR="006E37AC" w:rsidRPr="0018091E" w:rsidRDefault="006E37AC" w:rsidP="006E37AC">
                            <w:pPr>
                              <w:rPr>
                                <w:rFonts w:ascii="Arial" w:hAnsi="Arial" w:cs="Arial"/>
                                <w:sz w:val="22"/>
                                <w:szCs w:val="22"/>
                              </w:rPr>
                            </w:pPr>
                            <w:r w:rsidRPr="0018091E">
                              <w:rPr>
                                <w:rFonts w:ascii="Arial" w:hAnsi="Arial" w:cs="Arial"/>
                                <w:b/>
                                <w:bCs/>
                                <w:sz w:val="22"/>
                                <w:szCs w:val="22"/>
                              </w:rPr>
                              <w:t xml:space="preserve">A Case Study in Telehealth Risks – “Selfies”      </w:t>
                            </w:r>
                            <w:r w:rsidRPr="0018091E">
                              <w:rPr>
                                <w:rFonts w:ascii="Arial" w:hAnsi="Arial" w:cs="Arial"/>
                                <w:sz w:val="22"/>
                                <w:szCs w:val="22"/>
                              </w:rPr>
                              <w:t xml:space="preserve">Patients may, on their own, or after being asked, take pictures of themselves or a body part during a telehealth encounter for diagnosis.  These images represent legal documents, part of the patient’s medical record, but there are a host of image-related legal and ethical issues that have yet to be addressed, including:  consent, guarantee of privacy, data security and storage, image quality, etc.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8A36CB" id="_x0000_t202" coordsize="21600,21600" o:spt="202" path="m,l,21600r21600,l21600,xe">
                <v:stroke joinstyle="miter"/>
                <v:path gradientshapeok="t" o:connecttype="rect"/>
              </v:shapetype>
              <v:shape id="Text Box 12" o:spid="_x0000_s1026" type="#_x0000_t202" style="position:absolute;margin-left:-1.55pt;margin-top:80.3pt;width:464.4pt;height:1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MsTcQIAAAwFAAAOAAAAZHJzL2Uyb0RvYy54bWysVN9P2zAQfp+0/8Hy+0hbWigRKeqKmCYx&#10;QIKJZ9dx2kiOz7PdJuyv32enLQX2NO3FOd+d78d33+Xyqms02yrnazIFH54MOFNGUlmbVcF/Pt18&#10;mXLmgzCl0GRUwV+U51ezz58uW5urEa1Jl8oxBDE+b23B1yHYPMu8XKtG+BOyysBYkWtEwNWtstKJ&#10;FtEbnY0Gg7OsJVdaR1J5D+11b+SzFL+qlAz3VeVVYLrgqC2k06VzGc9sdinylRN2XctdGeIfqmhE&#10;bZD0EOpaBME2rv4QqqmlI09VOJHUZFRVtVSpB3QzHLzr5nEtrEq9ABxvDzD5/xdW3m0fHKtLzG7E&#10;mRENZvSkusC+UsegAj6t9TncHi0cQwc9fPd6D2Vsu6tcE79oiMEOpF8O6MZoEsrJ9OJ8OoVJwjY6&#10;HV9MBgn/7PW5dT58U9SwKBTcYXwJVbG99QGlwHXvErN50nV5U2udLpEyaqEd2woMW0ipTDhLz/Wm&#10;+UFlrwdp+rQihxrk6NXTvRopEvlipJTwTRJtWFvw0+H5ZJAivzEe3h1XMPlQAdo+NH548j4VytAG&#10;ygh+D3KUQrfsdhNZUvmCgTjqKe2tvKkB2q3w4UE4cBhAYy/DPY5KE6qmncTZmtzvv+mjP6gFK2ct&#10;dqLg/tdGOMWZ/m5AuovheByXKF3Gk/MRLu7Ysjy2mE2zIExiiD+AlUmM/kHvxcpR84z1ncesMAkj&#10;kbvgYS8uQr+pWH+p5vPkhLWxItyaRytj6Dj5SImn7lk4u+NNAOXuaL89In9Hn943vjQ03wSq6sSt&#10;CHCP6g53rFway+73EHf6+J68Xn9isz8AAAD//wMAUEsDBBQABgAIAAAAIQDwO5do4wAAAA8BAAAP&#10;AAAAZHJzL2Rvd25yZXYueG1sTE/JTsMwEL0j8Q/WIHFrnTZqgDROVbEckBBRCh/gxpNFicchdtvw&#10;9wwnuIw0b968JdvNdhBnnHznSMFqGYFAqpzpqFHw+fGyuAfhgyajB0eo4Bs97PLrq0ynxl2oxPMh&#10;NIJFyKdaQRvCmErpqxat9ks3IvGtdpPVgdepkWbSFxa3g1xHUSKt7ogdWj3iY4tVfzhZBVU5Pb9+&#10;lUWt37BP4n1Rv/emUOr2Zn7a8thvQQScw98H/Hbg/JBzsKM7kfFiULCIV8xkPIkSEEx4WG/uQBwV&#10;bGJGZJ7J/z3yHwAAAP//AwBQSwECLQAUAAYACAAAACEAtoM4kv4AAADhAQAAEwAAAAAAAAAAAAAA&#10;AAAAAAAAW0NvbnRlbnRfVHlwZXNdLnhtbFBLAQItABQABgAIAAAAIQA4/SH/1gAAAJQBAAALAAAA&#10;AAAAAAAAAAAAAC8BAABfcmVscy8ucmVsc1BLAQItABQABgAIAAAAIQCVwMsTcQIAAAwFAAAOAAAA&#10;AAAAAAAAAAAAAC4CAABkcnMvZTJvRG9jLnhtbFBLAQItABQABgAIAAAAIQDwO5do4wAAAA8BAAAP&#10;AAAAAAAAAAAAAAAAAMsEAABkcnMvZG93bnJldi54bWxQSwUGAAAAAAQABADzAAAA2wUAAAAA&#10;" fillcolor="#e2efd9 [665]" strokecolor="#1f4d78 [1608]" strokeweight="2.5pt">
                <v:textbox>
                  <w:txbxContent>
                    <w:p w14:paraId="5B58DE20" w14:textId="77777777" w:rsidR="006E37AC" w:rsidRDefault="006E37AC" w:rsidP="006E37AC">
                      <w:pPr>
                        <w:rPr>
                          <w:b/>
                          <w:bCs/>
                        </w:rPr>
                      </w:pPr>
                    </w:p>
                    <w:p w14:paraId="7B4E6815" w14:textId="77777777" w:rsidR="006E37AC" w:rsidRDefault="006E37AC" w:rsidP="006E37AC">
                      <w:pPr>
                        <w:jc w:val="center"/>
                        <w:rPr>
                          <w:b/>
                          <w:bCs/>
                        </w:rPr>
                      </w:pPr>
                      <w:r w:rsidRPr="00191555">
                        <w:rPr>
                          <w:noProof/>
                        </w:rPr>
                        <w:drawing>
                          <wp:inline distT="0" distB="0" distL="0" distR="0" wp14:anchorId="1C9E5A62" wp14:editId="06F03A7A">
                            <wp:extent cx="1041941" cy="10341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79716" cy="1071635"/>
                                    </a:xfrm>
                                    <a:prstGeom prst="rect">
                                      <a:avLst/>
                                    </a:prstGeom>
                                  </pic:spPr>
                                </pic:pic>
                              </a:graphicData>
                            </a:graphic>
                          </wp:inline>
                        </w:drawing>
                      </w:r>
                    </w:p>
                    <w:p w14:paraId="09FBF481" w14:textId="77777777" w:rsidR="006E37AC" w:rsidRDefault="006E37AC" w:rsidP="006E37AC">
                      <w:pPr>
                        <w:rPr>
                          <w:b/>
                          <w:bCs/>
                        </w:rPr>
                      </w:pPr>
                    </w:p>
                    <w:p w14:paraId="21DFAA8B" w14:textId="77777777" w:rsidR="006E37AC" w:rsidRPr="0018091E" w:rsidRDefault="006E37AC" w:rsidP="006E37AC">
                      <w:pPr>
                        <w:rPr>
                          <w:rFonts w:ascii="Arial" w:hAnsi="Arial" w:cs="Arial"/>
                          <w:sz w:val="22"/>
                          <w:szCs w:val="22"/>
                        </w:rPr>
                      </w:pPr>
                      <w:r w:rsidRPr="0018091E">
                        <w:rPr>
                          <w:rFonts w:ascii="Arial" w:hAnsi="Arial" w:cs="Arial"/>
                          <w:b/>
                          <w:bCs/>
                          <w:sz w:val="22"/>
                          <w:szCs w:val="22"/>
                        </w:rPr>
                        <w:t xml:space="preserve">A Case Study in Telehealth Risks – “Selfies”      </w:t>
                      </w:r>
                      <w:r w:rsidRPr="0018091E">
                        <w:rPr>
                          <w:rFonts w:ascii="Arial" w:hAnsi="Arial" w:cs="Arial"/>
                          <w:sz w:val="22"/>
                          <w:szCs w:val="22"/>
                        </w:rPr>
                        <w:t xml:space="preserve">Patients may, on their own, or after being asked, take pictures of themselves or a body part during a telehealth encounter for diagnosis.  These images represent legal documents, part of the patient’s medical record, but there are a host of image-related legal and ethical issues that have yet to be addressed, including:  consent, guarantee of privacy, data security and storage, image quality, etc.    </w:t>
                      </w:r>
                    </w:p>
                  </w:txbxContent>
                </v:textbox>
              </v:shape>
            </w:pict>
          </mc:Fallback>
        </mc:AlternateContent>
      </w:r>
      <w:r w:rsidR="006E37AC" w:rsidRPr="006E37AC">
        <w:rPr>
          <w:rFonts w:ascii="Arial" w:hAnsi="Arial" w:cs="Arial"/>
          <w:color w:val="000000" w:themeColor="text1"/>
          <w:sz w:val="22"/>
          <w:szCs w:val="22"/>
        </w:rPr>
        <w:t>Even the simple act of using video, or  sending a still picture in connection with a telediagnosis visit raises legal issues that have yet to be addressed (</w:t>
      </w:r>
      <w:r w:rsidR="006E37AC" w:rsidRPr="006E37AC">
        <w:rPr>
          <w:rFonts w:ascii="Arial" w:hAnsi="Arial" w:cs="Arial"/>
          <w:b/>
          <w:bCs/>
          <w:color w:val="000000" w:themeColor="text1"/>
          <w:sz w:val="22"/>
          <w:szCs w:val="22"/>
        </w:rPr>
        <w:t>Figure 2</w:t>
      </w:r>
      <w:r w:rsidR="006E37AC" w:rsidRPr="006E37AC">
        <w:rPr>
          <w:rFonts w:ascii="Arial" w:hAnsi="Arial" w:cs="Arial"/>
          <w:color w:val="000000" w:themeColor="text1"/>
          <w:sz w:val="22"/>
          <w:szCs w:val="22"/>
        </w:rPr>
        <w:t>).</w:t>
      </w:r>
      <w:r w:rsidR="006E37AC" w:rsidRPr="006E37AC">
        <w:rPr>
          <w:rFonts w:ascii="Arial" w:hAnsi="Arial" w:cs="Arial"/>
          <w:color w:val="000000" w:themeColor="text1"/>
          <w:sz w:val="22"/>
          <w:szCs w:val="22"/>
        </w:rPr>
        <w:fldChar w:fldCharType="begin"/>
      </w:r>
      <w:r w:rsidR="006E37AC" w:rsidRPr="006E37AC">
        <w:rPr>
          <w:rFonts w:ascii="Arial" w:hAnsi="Arial" w:cs="Arial"/>
          <w:color w:val="000000" w:themeColor="text1"/>
          <w:sz w:val="22"/>
          <w:szCs w:val="22"/>
        </w:rPr>
        <w:instrText xml:space="preserve"> ADDIN EN.CITE &lt;EndNote&gt;&lt;Cite&gt;&lt;Author&gt;Albarrak&lt;/Author&gt;&lt;Year&gt;2019&lt;/Year&gt;&lt;RecNum&gt;2283&lt;/RecNum&gt;&lt;DisplayText&gt;(10)&lt;/DisplayText&gt;&lt;record&gt;&lt;rec-number&gt;2283&lt;/rec-number&gt;&lt;foreign-keys&gt;&lt;key app="EN" db-id="zxxw0sde925ewfefpawpd2t79s9rs20pp0es" timestamp="1595434241"&gt;2283&lt;/key&gt;&lt;/foreign-keys&gt;&lt;ref-type name="Journal Article"&gt;17&lt;/ref-type&gt;&lt;contributors&gt;&lt;authors&gt;&lt;author&gt;Albarrak, A. I.&lt;/author&gt;&lt;author&gt;Mohammed, R.&lt;/author&gt;&lt;author&gt;Almarshoud, N.&lt;/author&gt;&lt;author&gt;Almujalli, L.&lt;/author&gt;&lt;author&gt;Aljaeed, R.&lt;/author&gt;&lt;author&gt;Altuwaijiri, S.&lt;/author&gt;&lt;author&gt;Albohairy, T.&lt;/author&gt;&lt;/authors&gt;&lt;/contributors&gt;&lt;auth-address&gt;Medical Education Dep., Research Chair For Health Informatics and Promotion, College of Medicine, King Saud University, Riyadh, Saudi Arabia. Electronic address: albarrak@ksu.edu.sa.&amp;#xD;Department of Health Informatics, College of Health Sciences, Saudi Electronic University, Riyadh, Saudi Arabia.&amp;#xD;College of Medicine, AlMaarefa University, Riyadh, Saudi Arabia.&lt;/auth-address&gt;&lt;titles&gt;&lt;title&gt;Assessment of physician&amp;apos;s knowledge, perception and willingness of telemedicine in Riyadh region, Saudi Arabia&lt;/title&gt;&lt;secondary-title&gt;J Infect Public Health&lt;/secondary-title&gt;&lt;/titles&gt;&lt;periodical&gt;&lt;full-title&gt;J Infect Public Health&lt;/full-title&gt;&lt;/periodical&gt;&lt;edition&gt;2019/05/08&lt;/edition&gt;&lt;keywords&gt;&lt;keyword&gt;Knowledge&lt;/keyword&gt;&lt;keyword&gt;Perceptions&lt;/keyword&gt;&lt;keyword&gt;Telehealth and information and communication technology (ICT)&lt;/keyword&gt;&lt;keyword&gt;Telemedicine&lt;/keyword&gt;&lt;/keywords&gt;&lt;dates&gt;&lt;year&gt;2019&lt;/year&gt;&lt;pub-dates&gt;&lt;date&gt;May 3&lt;/date&gt;&lt;/pub-dates&gt;&lt;/dates&gt;&lt;isbn&gt;1876-0341&lt;/isbn&gt;&lt;accession-num&gt;31060975&lt;/accession-num&gt;&lt;urls&gt;&lt;/urls&gt;&lt;electronic-resource-num&gt;10.1016/j.jiph.2019.04.006&lt;/electronic-resource-num&gt;&lt;remote-database-provider&gt;NLM&lt;/remote-database-provider&gt;&lt;language&gt;eng&lt;/language&gt;&lt;/record&gt;&lt;/Cite&gt;&lt;/EndNote&gt;</w:instrText>
      </w:r>
      <w:r w:rsidR="006E37AC" w:rsidRPr="006E37AC">
        <w:rPr>
          <w:rFonts w:ascii="Arial" w:hAnsi="Arial" w:cs="Arial"/>
          <w:color w:val="000000" w:themeColor="text1"/>
          <w:sz w:val="22"/>
          <w:szCs w:val="22"/>
        </w:rPr>
        <w:fldChar w:fldCharType="separate"/>
      </w:r>
      <w:r w:rsidR="006E37AC" w:rsidRPr="006E37AC">
        <w:rPr>
          <w:rFonts w:ascii="Arial" w:hAnsi="Arial" w:cs="Arial"/>
          <w:color w:val="000000" w:themeColor="text1"/>
          <w:sz w:val="22"/>
          <w:szCs w:val="22"/>
        </w:rPr>
        <w:t>(10)</w:t>
      </w:r>
      <w:r w:rsidR="006E37AC" w:rsidRPr="006E37AC">
        <w:rPr>
          <w:rFonts w:ascii="Arial" w:hAnsi="Arial" w:cs="Arial"/>
          <w:color w:val="000000" w:themeColor="text1"/>
          <w:sz w:val="22"/>
          <w:szCs w:val="22"/>
        </w:rPr>
        <w:fldChar w:fldCharType="end"/>
      </w:r>
      <w:r w:rsidR="006E37AC" w:rsidRPr="006E37AC">
        <w:rPr>
          <w:rFonts w:ascii="Arial" w:hAnsi="Arial" w:cs="Arial"/>
          <w:color w:val="000000" w:themeColor="text1"/>
          <w:sz w:val="22"/>
          <w:szCs w:val="22"/>
        </w:rPr>
        <w:t xml:space="preserve">  These concerns were not</w:t>
      </w:r>
      <w:r w:rsidR="0036751A">
        <w:rPr>
          <w:rFonts w:ascii="Arial" w:hAnsi="Arial" w:cs="Arial"/>
          <w:color w:val="000000" w:themeColor="text1"/>
          <w:sz w:val="22"/>
          <w:szCs w:val="22"/>
        </w:rPr>
        <w:t xml:space="preserve"> </w:t>
      </w:r>
      <w:r w:rsidR="006E37AC" w:rsidRPr="006E37AC">
        <w:rPr>
          <w:rFonts w:ascii="Arial" w:hAnsi="Arial" w:cs="Arial"/>
          <w:color w:val="000000" w:themeColor="text1"/>
          <w:sz w:val="22"/>
          <w:szCs w:val="22"/>
        </w:rPr>
        <w:t xml:space="preserve">top-of-mind during the COVID-19 pandemic, but they are not trivial, and ultimately will need solutions: </w:t>
      </w:r>
      <w:r w:rsidR="006E37AC" w:rsidRPr="006E37AC">
        <w:rPr>
          <w:rFonts w:ascii="Arial" w:hAnsi="Arial" w:cs="Arial"/>
          <w:i/>
          <w:iCs/>
          <w:color w:val="000000" w:themeColor="text1"/>
          <w:sz w:val="22"/>
          <w:szCs w:val="22"/>
        </w:rPr>
        <w:t>“For telehealth to succeed, privacy and security risks must be identified and addressed”.</w:t>
      </w:r>
      <w:r w:rsidR="006E37AC" w:rsidRPr="006E37AC">
        <w:rPr>
          <w:rFonts w:ascii="Arial" w:hAnsi="Arial" w:cs="Arial"/>
          <w:i/>
          <w:iCs/>
          <w:color w:val="000000" w:themeColor="text1"/>
          <w:sz w:val="22"/>
          <w:szCs w:val="22"/>
        </w:rPr>
        <w:fldChar w:fldCharType="begin"/>
      </w:r>
      <w:r w:rsidR="006E37AC" w:rsidRPr="006E37AC">
        <w:rPr>
          <w:rFonts w:ascii="Arial" w:hAnsi="Arial" w:cs="Arial"/>
          <w:i/>
          <w:iCs/>
          <w:color w:val="000000" w:themeColor="text1"/>
          <w:sz w:val="22"/>
          <w:szCs w:val="22"/>
        </w:rPr>
        <w:instrText xml:space="preserve"> ADDIN EN.CITE &lt;EndNote&gt;&lt;Cite&gt;&lt;Author&gt;Hall&lt;/Author&gt;&lt;Year&gt;2014&lt;/Year&gt;&lt;RecNum&gt;2954&lt;/RecNum&gt;&lt;DisplayText&gt;(11)&lt;/DisplayText&gt;&lt;record&gt;&lt;rec-number&gt;2954&lt;/rec-number&gt;&lt;foreign-keys&gt;&lt;key app="EN" db-id="zxxw0sde925ewfefpawpd2t79s9rs20pp0es" timestamp="1607623473"&gt;2954&lt;/key&gt;&lt;/foreign-keys&gt;&lt;ref-type name="Journal Article"&gt;17&lt;/ref-type&gt;&lt;contributors&gt;&lt;authors&gt;&lt;author&gt;Hall, JL&lt;/author&gt;&lt;author&gt;McGraw, D&lt;/author&gt;&lt;/authors&gt;&lt;/contributors&gt;&lt;titles&gt;&lt;title&gt;For telehealth to succeed, privacy and security risks must be identified and addressed&lt;/title&gt;&lt;secondary-title&gt;Health Aff (Millwood)&lt;/secondary-title&gt;&lt;/titles&gt;&lt;periodical&gt;&lt;full-title&gt;Health Aff (Millwood)&lt;/full-title&gt;&lt;/periodical&gt;&lt;pages&gt;216-21&lt;/pages&gt;&lt;volume&gt;33&lt;/volume&gt;&lt;number&gt;2&lt;/number&gt;&lt;dates&gt;&lt;year&gt;2014&lt;/year&gt;&lt;/dates&gt;&lt;urls&gt;&lt;/urls&gt;&lt;/record&gt;&lt;/Cite&gt;&lt;/EndNote&gt;</w:instrText>
      </w:r>
      <w:r w:rsidR="006E37AC" w:rsidRPr="006E37AC">
        <w:rPr>
          <w:rFonts w:ascii="Arial" w:hAnsi="Arial" w:cs="Arial"/>
          <w:i/>
          <w:iCs/>
          <w:color w:val="000000" w:themeColor="text1"/>
          <w:sz w:val="22"/>
          <w:szCs w:val="22"/>
        </w:rPr>
        <w:fldChar w:fldCharType="separate"/>
      </w:r>
      <w:r w:rsidR="006E37AC" w:rsidRPr="006E37AC">
        <w:rPr>
          <w:rFonts w:ascii="Arial" w:hAnsi="Arial" w:cs="Arial"/>
          <w:i/>
          <w:iCs/>
          <w:color w:val="000000" w:themeColor="text1"/>
          <w:sz w:val="22"/>
          <w:szCs w:val="22"/>
        </w:rPr>
        <w:t>(11)</w:t>
      </w:r>
      <w:r w:rsidR="006E37AC" w:rsidRPr="006E37AC">
        <w:rPr>
          <w:rFonts w:ascii="Arial" w:hAnsi="Arial" w:cs="Arial"/>
          <w:color w:val="000000" w:themeColor="text1"/>
          <w:sz w:val="22"/>
          <w:szCs w:val="22"/>
        </w:rPr>
        <w:fldChar w:fldCharType="end"/>
      </w:r>
    </w:p>
    <w:p w14:paraId="0EBD0C70" w14:textId="6E1E77ED" w:rsidR="006E37AC" w:rsidRDefault="006E37AC" w:rsidP="006E37AC">
      <w:pPr>
        <w:rPr>
          <w:b/>
          <w:bCs/>
        </w:rPr>
      </w:pPr>
    </w:p>
    <w:p w14:paraId="7CAF7DEC" w14:textId="42F6504B" w:rsidR="006E37AC" w:rsidRDefault="006E37AC" w:rsidP="006E37AC">
      <w:pPr>
        <w:rPr>
          <w:b/>
          <w:bCs/>
        </w:rPr>
      </w:pPr>
    </w:p>
    <w:p w14:paraId="62C509CC" w14:textId="4DAD7B93" w:rsidR="006E37AC" w:rsidRDefault="006E37AC" w:rsidP="006E37AC">
      <w:pPr>
        <w:rPr>
          <w:b/>
          <w:bCs/>
        </w:rPr>
      </w:pPr>
    </w:p>
    <w:p w14:paraId="280122A4" w14:textId="1145166F" w:rsidR="006E37AC" w:rsidRDefault="006E37AC" w:rsidP="006E37AC">
      <w:pPr>
        <w:rPr>
          <w:b/>
          <w:bCs/>
        </w:rPr>
      </w:pPr>
    </w:p>
    <w:p w14:paraId="1E9716F3" w14:textId="1CA73A14" w:rsidR="006E37AC" w:rsidRDefault="006E37AC" w:rsidP="006E37AC">
      <w:pPr>
        <w:rPr>
          <w:b/>
          <w:bCs/>
        </w:rPr>
      </w:pPr>
    </w:p>
    <w:p w14:paraId="40500B3C" w14:textId="77777777" w:rsidR="006E37AC" w:rsidRDefault="006E37AC" w:rsidP="006E37AC">
      <w:pPr>
        <w:rPr>
          <w:b/>
          <w:bCs/>
        </w:rPr>
      </w:pPr>
    </w:p>
    <w:p w14:paraId="7A3B50CD" w14:textId="77777777" w:rsidR="006E37AC" w:rsidRDefault="006E37AC" w:rsidP="006E37AC">
      <w:pPr>
        <w:rPr>
          <w:b/>
          <w:bCs/>
        </w:rPr>
      </w:pPr>
    </w:p>
    <w:p w14:paraId="674885A1" w14:textId="77777777" w:rsidR="006E37AC" w:rsidRDefault="006E37AC" w:rsidP="006E37AC">
      <w:pPr>
        <w:rPr>
          <w:b/>
          <w:bCs/>
        </w:rPr>
      </w:pPr>
    </w:p>
    <w:p w14:paraId="573D8834" w14:textId="6F1C265E" w:rsidR="006E37AC" w:rsidRDefault="006E37AC" w:rsidP="006E37AC">
      <w:pPr>
        <w:rPr>
          <w:b/>
          <w:bCs/>
        </w:rPr>
      </w:pPr>
    </w:p>
    <w:p w14:paraId="6A97E6FC" w14:textId="77353030" w:rsidR="006E37AC" w:rsidRDefault="006E37AC" w:rsidP="006E37AC">
      <w:pPr>
        <w:rPr>
          <w:b/>
          <w:bCs/>
        </w:rPr>
      </w:pPr>
    </w:p>
    <w:p w14:paraId="6FEE8610" w14:textId="77777777" w:rsidR="006E37AC" w:rsidRDefault="006E37AC" w:rsidP="006E37AC">
      <w:pPr>
        <w:rPr>
          <w:b/>
          <w:bCs/>
        </w:rPr>
      </w:pPr>
    </w:p>
    <w:p w14:paraId="2E4F2B95" w14:textId="77777777" w:rsidR="006E37AC" w:rsidRDefault="006E37AC" w:rsidP="006E37AC">
      <w:pPr>
        <w:rPr>
          <w:b/>
          <w:bCs/>
        </w:rPr>
      </w:pPr>
    </w:p>
    <w:p w14:paraId="0EBDEF40" w14:textId="77777777" w:rsidR="006E37AC" w:rsidRDefault="006E37AC" w:rsidP="006E37AC">
      <w:pPr>
        <w:rPr>
          <w:b/>
          <w:bCs/>
        </w:rPr>
      </w:pPr>
    </w:p>
    <w:p w14:paraId="20A1041B" w14:textId="77777777" w:rsidR="0018091E" w:rsidRDefault="0018091E" w:rsidP="006E37AC">
      <w:pPr>
        <w:rPr>
          <w:rFonts w:ascii="Arial" w:hAnsi="Arial" w:cs="Arial"/>
          <w:b/>
          <w:bCs/>
          <w:sz w:val="20"/>
          <w:szCs w:val="20"/>
        </w:rPr>
      </w:pPr>
    </w:p>
    <w:p w14:paraId="752641DD" w14:textId="2EA9C3C2" w:rsidR="006E37AC" w:rsidRDefault="006E37AC" w:rsidP="0018091E">
      <w:pPr>
        <w:rPr>
          <w:rFonts w:ascii="Arial" w:hAnsi="Arial" w:cs="Arial"/>
          <w:b/>
          <w:bCs/>
          <w:sz w:val="20"/>
          <w:szCs w:val="20"/>
        </w:rPr>
      </w:pPr>
      <w:r w:rsidRPr="006E37AC">
        <w:rPr>
          <w:rFonts w:ascii="Arial" w:hAnsi="Arial" w:cs="Arial"/>
          <w:b/>
          <w:bCs/>
          <w:sz w:val="20"/>
          <w:szCs w:val="20"/>
        </w:rPr>
        <w:t>Figure 2.  Selfies – A case study of telehealth policy challenges (10)</w:t>
      </w:r>
    </w:p>
    <w:p w14:paraId="41C7A7D1" w14:textId="77777777" w:rsidR="0018091E" w:rsidRPr="0018091E" w:rsidRDefault="0018091E" w:rsidP="0018091E">
      <w:pPr>
        <w:rPr>
          <w:rFonts w:ascii="Arial" w:hAnsi="Arial" w:cs="Arial"/>
          <w:b/>
          <w:bCs/>
          <w:sz w:val="20"/>
          <w:szCs w:val="20"/>
        </w:rPr>
      </w:pPr>
    </w:p>
    <w:p w14:paraId="39996CB3" w14:textId="77777777" w:rsidR="006E37AC" w:rsidRPr="0018091E" w:rsidRDefault="006E37AC" w:rsidP="006E37AC">
      <w:pPr>
        <w:spacing w:line="276" w:lineRule="auto"/>
        <w:rPr>
          <w:rFonts w:ascii="Arial" w:hAnsi="Arial" w:cs="Arial"/>
          <w:sz w:val="22"/>
          <w:szCs w:val="22"/>
        </w:rPr>
      </w:pPr>
      <w:r w:rsidRPr="0018091E">
        <w:rPr>
          <w:rFonts w:ascii="Arial" w:hAnsi="Arial" w:cs="Arial"/>
          <w:sz w:val="22"/>
          <w:szCs w:val="22"/>
        </w:rPr>
        <w:t>There is substantial pressure to solve the various payment and policy issues quickly.  The American Medical Association is solidly behind telehealth, and is encouraging legislation that will ensure uniformity across states and address the key issues that will determine the future course of telehealth going forward, including the concerns over privacy, security, and licensure\liability.</w:t>
      </w:r>
      <w:r w:rsidRPr="0018091E">
        <w:rPr>
          <w:rFonts w:ascii="Arial" w:hAnsi="Arial" w:cs="Arial"/>
          <w:sz w:val="22"/>
          <w:szCs w:val="22"/>
        </w:rPr>
        <w:fldChar w:fldCharType="begin"/>
      </w:r>
      <w:r w:rsidRPr="0018091E">
        <w:rPr>
          <w:rFonts w:ascii="Arial" w:hAnsi="Arial" w:cs="Arial"/>
          <w:sz w:val="22"/>
          <w:szCs w:val="22"/>
        </w:rPr>
        <w:instrText xml:space="preserve"> ADDIN EN.CITE &lt;EndNote&gt;&lt;Cite&gt;&lt;Author&gt;Firth&lt;/Author&gt;&lt;Year&gt;2021&lt;/Year&gt;&lt;RecNum&gt;2983&lt;/RecNum&gt;&lt;DisplayText&gt;(12)&lt;/DisplayText&gt;&lt;record&gt;&lt;rec-number&gt;2983&lt;/rec-number&gt;&lt;foreign-keys&gt;&lt;key app="EN" db-id="zxxw0sde925ewfefpawpd2t79s9rs20pp0es" timestamp="1621381334"&gt;2983&lt;/key&gt;&lt;/foreign-keys&gt;&lt;ref-type name="Journal Article"&gt;17&lt;/ref-type&gt;&lt;contributors&gt;&lt;authors&gt;&lt;author&gt;Firth, S&lt;/author&gt;&lt;/authors&gt;&lt;/contributors&gt;&lt;titles&gt;&lt;title&gt;AMA Adopts Policy to Expand Access to Telehealth&lt;/title&gt;&lt;secondary-title&gt;Medpage Today&lt;/secondary-title&gt;&lt;/titles&gt;&lt;periodical&gt;&lt;full-title&gt;Medpage Today&lt;/full-title&gt;&lt;/periodical&gt;&lt;volume&gt;https://www.medpagetoday.com/meetingcoverage/ama/89786?xid=nl_mpt_DHE_2020-11-20&amp;amp;eun=g984329d0r&amp;amp;utm_source=Sailthru&amp;amp;utm_medium=email&amp;amp;utm_campaign=Daily%20Headlines%20Top%20Cat%20HeC%20%202020-11-20&amp;amp;utm_term=NL_Daily_DHE_dual-gmail-definition&lt;/volume&gt;&lt;dates&gt;&lt;year&gt;2021&lt;/year&gt;&lt;/dates&gt;&lt;urls&gt;&lt;/urls&gt;&lt;/record&gt;&lt;/Cite&gt;&lt;/EndNote&gt;</w:instrText>
      </w:r>
      <w:r w:rsidRPr="0018091E">
        <w:rPr>
          <w:rFonts w:ascii="Arial" w:hAnsi="Arial" w:cs="Arial"/>
          <w:sz w:val="22"/>
          <w:szCs w:val="22"/>
        </w:rPr>
        <w:fldChar w:fldCharType="separate"/>
      </w:r>
      <w:r w:rsidRPr="0018091E">
        <w:rPr>
          <w:rFonts w:ascii="Arial" w:hAnsi="Arial" w:cs="Arial"/>
          <w:noProof/>
          <w:sz w:val="22"/>
          <w:szCs w:val="22"/>
        </w:rPr>
        <w:t>(12)</w:t>
      </w:r>
      <w:r w:rsidRPr="0018091E">
        <w:rPr>
          <w:rFonts w:ascii="Arial" w:hAnsi="Arial" w:cs="Arial"/>
          <w:sz w:val="22"/>
          <w:szCs w:val="22"/>
        </w:rPr>
        <w:fldChar w:fldCharType="end"/>
      </w:r>
      <w:r w:rsidRPr="0018091E">
        <w:rPr>
          <w:rFonts w:ascii="Arial" w:hAnsi="Arial" w:cs="Arial"/>
          <w:sz w:val="22"/>
          <w:szCs w:val="22"/>
        </w:rPr>
        <w:t xml:space="preserve">  The AMA resolutions also include the important and laudable goal of supporting telehealth as a means "to reduce health disparities and promote access to health care."  The problem of disparities in telehealth usage has emerged as one of the major concerns regarding healthcare during the COVID-19 pandemic, and although ideas on how to bridge the ‘digital divide’ are emerging,</w:t>
      </w:r>
      <w:r w:rsidRPr="0018091E">
        <w:rPr>
          <w:rFonts w:ascii="Arial" w:hAnsi="Arial" w:cs="Arial"/>
          <w:sz w:val="22"/>
          <w:szCs w:val="22"/>
        </w:rPr>
        <w:fldChar w:fldCharType="begin"/>
      </w:r>
      <w:r w:rsidRPr="0018091E">
        <w:rPr>
          <w:rFonts w:ascii="Arial" w:hAnsi="Arial" w:cs="Arial"/>
          <w:sz w:val="22"/>
          <w:szCs w:val="22"/>
        </w:rPr>
        <w:instrText xml:space="preserve"> ADDIN EN.CITE &lt;EndNote&gt;&lt;Cite&gt;&lt;Author&gt;Eyrich&lt;/Author&gt;&lt;Year&gt;2021&lt;/Year&gt;&lt;RecNum&gt;2985&lt;/RecNum&gt;&lt;DisplayText&gt;(13)&lt;/DisplayText&gt;&lt;record&gt;&lt;rec-number&gt;2985&lt;/rec-number&gt;&lt;foreign-keys&gt;&lt;key app="EN" db-id="zxxw0sde925ewfefpawpd2t79s9rs20pp0es" timestamp="1621383080"&gt;2985&lt;/key&gt;&lt;/foreign-keys&gt;&lt;ref-type name="Journal Article"&gt;17&lt;/ref-type&gt;&lt;contributors&gt;&lt;authors&gt;&lt;author&gt;Eyrich, NW&lt;/author&gt;&lt;author&gt;Andino, JJ&lt;/author&gt;&lt;author&gt;Fessell, DP&lt;/author&gt;&lt;/authors&gt;&lt;/contributors&gt;&lt;titles&gt;&lt;title&gt;Bridging the Digital Divide to Avoid Leaving the Most Vulnerable Behind&lt;/title&gt;&lt;secondary-title&gt;JAMA Surgery&lt;/secondary-title&gt;&lt;/titles&gt;&lt;periodical&gt;&lt;full-title&gt;JAMA Surgery&lt;/full-title&gt;&lt;/periodical&gt;&lt;volume&gt; doi: 10.1001/jamasurg.2021.1143&lt;/volume&gt;&lt;dates&gt;&lt;year&gt;2021&lt;/year&gt;&lt;/dates&gt;&lt;urls&gt;&lt;/urls&gt;&lt;/record&gt;&lt;/Cite&gt;&lt;/EndNote&gt;</w:instrText>
      </w:r>
      <w:r w:rsidRPr="0018091E">
        <w:rPr>
          <w:rFonts w:ascii="Arial" w:hAnsi="Arial" w:cs="Arial"/>
          <w:sz w:val="22"/>
          <w:szCs w:val="22"/>
        </w:rPr>
        <w:fldChar w:fldCharType="separate"/>
      </w:r>
      <w:r w:rsidRPr="0018091E">
        <w:rPr>
          <w:rFonts w:ascii="Arial" w:hAnsi="Arial" w:cs="Arial"/>
          <w:noProof/>
          <w:sz w:val="22"/>
          <w:szCs w:val="22"/>
        </w:rPr>
        <w:t>(13)</w:t>
      </w:r>
      <w:r w:rsidRPr="0018091E">
        <w:rPr>
          <w:rFonts w:ascii="Arial" w:hAnsi="Arial" w:cs="Arial"/>
          <w:sz w:val="22"/>
          <w:szCs w:val="22"/>
        </w:rPr>
        <w:fldChar w:fldCharType="end"/>
      </w:r>
      <w:r w:rsidRPr="0018091E">
        <w:rPr>
          <w:rFonts w:ascii="Arial" w:hAnsi="Arial" w:cs="Arial"/>
          <w:sz w:val="22"/>
          <w:szCs w:val="22"/>
        </w:rPr>
        <w:t xml:space="preserve"> few have been adopted.</w:t>
      </w:r>
    </w:p>
    <w:p w14:paraId="4DEBEBA3" w14:textId="77777777" w:rsidR="006E37AC" w:rsidRPr="0018091E" w:rsidRDefault="006E37AC" w:rsidP="006E37AC">
      <w:pPr>
        <w:spacing w:line="276" w:lineRule="auto"/>
        <w:rPr>
          <w:rFonts w:ascii="Arial" w:hAnsi="Arial" w:cs="Arial"/>
          <w:sz w:val="22"/>
          <w:szCs w:val="22"/>
        </w:rPr>
      </w:pPr>
    </w:p>
    <w:p w14:paraId="0CDA8DD5" w14:textId="6E0D4875" w:rsidR="006E37AC" w:rsidRPr="006E37AC" w:rsidRDefault="006E37AC" w:rsidP="0036751A">
      <w:pPr>
        <w:spacing w:line="276" w:lineRule="auto"/>
        <w:rPr>
          <w:rFonts w:ascii="Arial" w:hAnsi="Arial" w:cs="Arial"/>
          <w:sz w:val="22"/>
          <w:szCs w:val="22"/>
        </w:rPr>
      </w:pPr>
      <w:r w:rsidRPr="0018091E">
        <w:rPr>
          <w:rFonts w:ascii="Arial" w:hAnsi="Arial" w:cs="Arial"/>
          <w:sz w:val="22"/>
          <w:szCs w:val="22"/>
        </w:rPr>
        <w:t xml:space="preserve">Many of these suggestions are included in the “Telehealth Modernization Act” (S368), which would extend many of the enabling provisions enacted during the COVID-19 pandemic. The bill is under review by the Senate Finance Committee, and enjoys bipartisan support. </w:t>
      </w:r>
      <w:r w:rsidRPr="0018091E">
        <w:rPr>
          <w:rFonts w:ascii="Arial" w:hAnsi="Arial" w:cs="Arial"/>
          <w:sz w:val="22"/>
          <w:szCs w:val="22"/>
        </w:rPr>
        <w:fldChar w:fldCharType="begin"/>
      </w:r>
      <w:r w:rsidRPr="0018091E">
        <w:rPr>
          <w:rFonts w:ascii="Arial" w:hAnsi="Arial" w:cs="Arial"/>
          <w:sz w:val="22"/>
          <w:szCs w:val="22"/>
        </w:rPr>
        <w:instrText xml:space="preserve"> ADDIN EN.CITE &lt;EndNote&gt;&lt;Cite&gt;&lt;Author&gt;Phend&lt;/Author&gt;&lt;Year&gt;2021&lt;/Year&gt;&lt;RecNum&gt;2989&lt;/RecNum&gt;&lt;DisplayText&gt;(14)&lt;/DisplayText&gt;&lt;record&gt;&lt;rec-number&gt;2989&lt;/rec-number&gt;&lt;foreign-keys&gt;&lt;key app="EN" db-id="zxxw0sde925ewfefpawpd2t79s9rs20pp0es" timestamp="1621384893"&gt;2989&lt;/key&gt;&lt;/foreign-keys&gt;&lt;ref-type name="Journal Article"&gt;17&lt;/ref-type&gt;&lt;contributors&gt;&lt;authors&gt;&lt;author&gt;Phend, C&lt;/author&gt;&lt;/authors&gt;&lt;/contributors&gt;&lt;titles&gt;&lt;title&gt;Permanent telehealth expansion gains bipartisan support&lt;/title&gt;&lt;secondary-title&gt;Medpage Today&lt;/secondary-title&gt;&lt;/titles&gt;&lt;periodical&gt;&lt;full-title&gt;Medpage Today&lt;/full-title&gt;&lt;/periodical&gt;&lt;volume&gt;Available at: https://www.medpagetoday.com/practicemanagement/telehealth/91461&lt;/volume&gt;&lt;dates&gt;&lt;year&gt;2021&lt;/year&gt;&lt;/dates&gt;&lt;urls&gt;&lt;/urls&gt;&lt;/record&gt;&lt;/Cite&gt;&lt;/EndNote&gt;</w:instrText>
      </w:r>
      <w:r w:rsidRPr="0018091E">
        <w:rPr>
          <w:rFonts w:ascii="Arial" w:hAnsi="Arial" w:cs="Arial"/>
          <w:sz w:val="22"/>
          <w:szCs w:val="22"/>
        </w:rPr>
        <w:fldChar w:fldCharType="separate"/>
      </w:r>
      <w:r w:rsidRPr="0018091E">
        <w:rPr>
          <w:rFonts w:ascii="Arial" w:hAnsi="Arial" w:cs="Arial"/>
          <w:noProof/>
          <w:sz w:val="22"/>
          <w:szCs w:val="22"/>
        </w:rPr>
        <w:t>(14)</w:t>
      </w:r>
      <w:r w:rsidRPr="0018091E">
        <w:rPr>
          <w:rFonts w:ascii="Arial" w:hAnsi="Arial" w:cs="Arial"/>
          <w:sz w:val="22"/>
          <w:szCs w:val="22"/>
        </w:rPr>
        <w:fldChar w:fldCharType="end"/>
      </w:r>
    </w:p>
    <w:p w14:paraId="377FD4C9" w14:textId="535B071B" w:rsidR="006E37AC" w:rsidRPr="006E37AC" w:rsidRDefault="0018091E" w:rsidP="006E37AC">
      <w:pPr>
        <w:pStyle w:val="body"/>
        <w:spacing w:before="240" w:line="276" w:lineRule="auto"/>
        <w:rPr>
          <w:rFonts w:ascii="Arial" w:hAnsi="Arial" w:cs="Arial"/>
          <w:b/>
          <w:bCs/>
          <w:color w:val="B79E38"/>
          <w:sz w:val="20"/>
          <w:szCs w:val="20"/>
        </w:rPr>
      </w:pPr>
      <w:r w:rsidRPr="006E37AC">
        <w:rPr>
          <w:rFonts w:ascii="Arial" w:hAnsi="Arial" w:cs="Arial"/>
          <w:b/>
          <w:bCs/>
          <w:noProof/>
          <w:color w:val="B79E38"/>
          <w:sz w:val="20"/>
          <w:szCs w:val="20"/>
        </w:rPr>
        <mc:AlternateContent>
          <mc:Choice Requires="wps">
            <w:drawing>
              <wp:anchor distT="0" distB="0" distL="114300" distR="114300" simplePos="0" relativeHeight="251686912" behindDoc="0" locked="0" layoutInCell="1" allowOverlap="1" wp14:anchorId="66C1A703" wp14:editId="2AF19297">
                <wp:simplePos x="0" y="0"/>
                <wp:positionH relativeFrom="column">
                  <wp:posOffset>-19957</wp:posOffset>
                </wp:positionH>
                <wp:positionV relativeFrom="paragraph">
                  <wp:posOffset>132897</wp:posOffset>
                </wp:positionV>
                <wp:extent cx="6105071" cy="1456872"/>
                <wp:effectExtent l="12700" t="12700" r="29210" b="29210"/>
                <wp:wrapNone/>
                <wp:docPr id="15" name="Text Box 15"/>
                <wp:cNvGraphicFramePr/>
                <a:graphic xmlns:a="http://schemas.openxmlformats.org/drawingml/2006/main">
                  <a:graphicData uri="http://schemas.microsoft.com/office/word/2010/wordprocessingShape">
                    <wps:wsp>
                      <wps:cNvSpPr txBox="1"/>
                      <wps:spPr>
                        <a:xfrm>
                          <a:off x="0" y="0"/>
                          <a:ext cx="6105071" cy="1456872"/>
                        </a:xfrm>
                        <a:prstGeom prst="rect">
                          <a:avLst/>
                        </a:prstGeom>
                        <a:solidFill>
                          <a:schemeClr val="accent2">
                            <a:lumMod val="20000"/>
                            <a:lumOff val="80000"/>
                          </a:schemeClr>
                        </a:solidFill>
                        <a:ln w="31750">
                          <a:solidFill>
                            <a:srgbClr val="002060"/>
                          </a:solidFill>
                        </a:ln>
                      </wps:spPr>
                      <wps:txbx>
                        <w:txbxContent>
                          <w:p w14:paraId="0DBFA99C" w14:textId="77777777" w:rsidR="006E37AC" w:rsidRPr="0018091E" w:rsidRDefault="006E37AC" w:rsidP="006E37AC">
                            <w:pPr>
                              <w:spacing w:line="276" w:lineRule="auto"/>
                              <w:rPr>
                                <w:rFonts w:ascii="Arial" w:hAnsi="Arial" w:cs="Arial"/>
                                <w:sz w:val="22"/>
                                <w:szCs w:val="22"/>
                              </w:rPr>
                            </w:pPr>
                            <w:r w:rsidRPr="0018091E">
                              <w:rPr>
                                <w:rFonts w:ascii="Arial" w:hAnsi="Arial" w:cs="Arial"/>
                                <w:sz w:val="22"/>
                                <w:szCs w:val="22"/>
                              </w:rPr>
                              <w:t>The Telehealth Modernization Act (S368) “</w:t>
                            </w:r>
                            <w:r w:rsidRPr="0018091E">
                              <w:rPr>
                                <w:rFonts w:ascii="Arial" w:hAnsi="Arial" w:cs="Arial"/>
                                <w:i/>
                                <w:iCs/>
                                <w:sz w:val="22"/>
                                <w:szCs w:val="22"/>
                              </w:rPr>
                              <w:t>… the bill extends certain flexibilities that were initially authorized during the public health emergency relating to COVID-19 (i.e., coronavirus disease 2019). Among other things, the bill allows (1) rural health clinics and federally qualified health centers to serve as the distant site (i.e., the location of the health care practitioner); (2) the home of a beneficiary to serve as the originating site (i.e., the location of the beneficiary) for all services (rather than for only certain services); and (3) all types of practitioners to furnish telehealth services, as determined by the Centers for Medicare &amp; Medicaid Services.”</w:t>
                            </w:r>
                          </w:p>
                          <w:p w14:paraId="0C77FA69" w14:textId="77777777" w:rsidR="006E37AC" w:rsidRDefault="006E37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1A703" id="Text Box 15" o:spid="_x0000_s1027" type="#_x0000_t202" style="position:absolute;margin-left:-1.55pt;margin-top:10.45pt;width:480.7pt;height:114.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MscAIAAOwEAAAOAAAAZHJzL2Uyb0RvYy54bWysVMtu2zAQvBfoPxC8N5JdPxIjcuAmSFEg&#10;TQIkRc40RdkCKC5L0pbSr++QspxHeyp6obkPzS5nZ31+0TWa7ZXzNZmCj05yzpSRVNZmU/Afj9ef&#10;TjnzQZhSaDKq4M/K84vlxw/nrV2oMW1Jl8oxgBi/aG3BtyHYRZZ5uVWN8CdklUGwIteIANNtstKJ&#10;FuiNzsZ5PstacqV1JJX38F71Qb5M+FWlZLirKq8C0wVHbyGdLp3reGbLc7HYOGG3tTy0If6hi0bU&#10;BkWPUFciCLZz9R9QTS0dearCiaQmo6qqpUpvwGtG+bvXPGyFVektIMfbI03+/8HK2/29Y3WJ2U05&#10;M6LBjB5VF9gX6hhc4Ke1foG0B4vE0MGP3MHv4YzP7irXxF88iCEOpp+P7EY0CedslE/z+Ygzidho&#10;Mp2dzscRJ3v53DofvipqWLwU3GF8iVWxv/GhTx1SYjVPui6va62TESWjLrVje4FhCymVCeP0ud41&#10;36ns/RBNfhg73BBH7z4d3OgmiS8ipd7eFNGGtQX/PJpP84T8JujdZn2sn+fjfJYKRcSXRmFpA+DI&#10;as9evIVu3fVTGJhdU/kMwh31kvVWXtcg5Ub4cC8cNAqOsXfhDkelCV3R4cbZltyvv/ljPqSDKGct&#10;NF9w/3MnnOJMfzMQ1dloMolLkozJdD6G4V5H1q8jZtdcEpjGRNFdusb8oIdr5ah5wnquYlWEhJGo&#10;XfAwXC9Dv4lYb6lWq5SEtbAi3JgHKyN0nGwc+WP3JJw96CJAUrc0bIdYvJNHnxu/NLTaBarqpJ3I&#10;c8/qgX6sVJrwYf3jzr62U9bLn9TyNwAAAP//AwBQSwMEFAAGAAgAAAAhADwpnDHiAAAADgEAAA8A&#10;AABkcnMvZG93bnJldi54bWxMT01PwzAMvSPxHyIjcduSrSpsXdMJgXYDaRtIE7esCW1H4lRJupV/&#10;P3OCiyX7Pb+Pcj06y84mxM6jhNlUADNYe91hI+HjfTNZAItJoVbWo5HwYyKsq9ubUhXaX3BnzvvU&#10;MBLBWCgJbUp9wXmsW+NUnPreIGFfPjiVaA0N10FdSNxZPhfigTvVITm0qjfPram/94OT0A/5o8fP&#10;3Ws4nd42aWv94dB5Ke/vxpcVjacVsGTG9PcBvx0oP1QU7OgH1JFZCZNsRkwJc7EERvgyX2TAjnTI&#10;RQa8Kvn/GtUVAAD//wMAUEsBAi0AFAAGAAgAAAAhALaDOJL+AAAA4QEAABMAAAAAAAAAAAAAAAAA&#10;AAAAAFtDb250ZW50X1R5cGVzXS54bWxQSwECLQAUAAYACAAAACEAOP0h/9YAAACUAQAACwAAAAAA&#10;AAAAAAAAAAAvAQAAX3JlbHMvLnJlbHNQSwECLQAUAAYACAAAACEAKviTLHACAADsBAAADgAAAAAA&#10;AAAAAAAAAAAuAgAAZHJzL2Uyb0RvYy54bWxQSwECLQAUAAYACAAAACEAPCmcMeIAAAAOAQAADwAA&#10;AAAAAAAAAAAAAADKBAAAZHJzL2Rvd25yZXYueG1sUEsFBgAAAAAEAAQA8wAAANkFAAAAAA==&#10;" fillcolor="#fbe4d5 [661]" strokecolor="#002060" strokeweight="2.5pt">
                <v:textbox>
                  <w:txbxContent>
                    <w:p w14:paraId="0DBFA99C" w14:textId="77777777" w:rsidR="006E37AC" w:rsidRPr="0018091E" w:rsidRDefault="006E37AC" w:rsidP="006E37AC">
                      <w:pPr>
                        <w:spacing w:line="276" w:lineRule="auto"/>
                        <w:rPr>
                          <w:rFonts w:ascii="Arial" w:hAnsi="Arial" w:cs="Arial"/>
                          <w:sz w:val="22"/>
                          <w:szCs w:val="22"/>
                        </w:rPr>
                      </w:pPr>
                      <w:r w:rsidRPr="0018091E">
                        <w:rPr>
                          <w:rFonts w:ascii="Arial" w:hAnsi="Arial" w:cs="Arial"/>
                          <w:sz w:val="22"/>
                          <w:szCs w:val="22"/>
                        </w:rPr>
                        <w:t>The Telehealth Modernization Act (S368) “</w:t>
                      </w:r>
                      <w:r w:rsidRPr="0018091E">
                        <w:rPr>
                          <w:rFonts w:ascii="Arial" w:hAnsi="Arial" w:cs="Arial"/>
                          <w:i/>
                          <w:iCs/>
                          <w:sz w:val="22"/>
                          <w:szCs w:val="22"/>
                        </w:rPr>
                        <w:t>… the bill extends certain flexibilities that were initially authorized during the public health emergency relating to COVID-19 (i.e., coronavirus disease 2019). Among other things, the bill allows (1) rural health clinics and federally qualified health centers to serve as the distant site (i.e., the location of the health care practitioner); (2) the home of a beneficiary to serve as the originating site (i.e., the location of the beneficiary) for all services (rather than for only certain services); and (3) all types of practitioners to furnish telehealth services, as determined by the Centers for Medicare &amp; Medicaid Services.”</w:t>
                      </w:r>
                    </w:p>
                    <w:p w14:paraId="0C77FA69" w14:textId="77777777" w:rsidR="006E37AC" w:rsidRDefault="006E37AC"/>
                  </w:txbxContent>
                </v:textbox>
              </v:shape>
            </w:pict>
          </mc:Fallback>
        </mc:AlternateContent>
      </w:r>
    </w:p>
    <w:p w14:paraId="3E12E389" w14:textId="485DD902" w:rsidR="006E37AC" w:rsidRPr="006E37AC" w:rsidRDefault="006E37AC" w:rsidP="006E37AC">
      <w:pPr>
        <w:pStyle w:val="body"/>
        <w:spacing w:before="240" w:line="276" w:lineRule="auto"/>
        <w:rPr>
          <w:rFonts w:ascii="Arial" w:hAnsi="Arial" w:cs="Arial"/>
          <w:b/>
          <w:bCs/>
          <w:color w:val="B79E38"/>
          <w:sz w:val="20"/>
          <w:szCs w:val="20"/>
        </w:rPr>
      </w:pPr>
    </w:p>
    <w:p w14:paraId="75AFC14E" w14:textId="77777777" w:rsidR="006E37AC" w:rsidRPr="006E37AC" w:rsidRDefault="006E37AC" w:rsidP="006E37AC">
      <w:pPr>
        <w:pStyle w:val="body"/>
        <w:spacing w:before="240" w:line="276" w:lineRule="auto"/>
        <w:rPr>
          <w:rFonts w:ascii="Arial" w:hAnsi="Arial" w:cs="Arial"/>
          <w:b/>
          <w:bCs/>
          <w:color w:val="B79E38"/>
          <w:sz w:val="20"/>
          <w:szCs w:val="20"/>
        </w:rPr>
      </w:pPr>
    </w:p>
    <w:p w14:paraId="7297B290" w14:textId="77777777" w:rsidR="006E37AC" w:rsidRPr="006E37AC" w:rsidRDefault="006E37AC" w:rsidP="006E37AC">
      <w:pPr>
        <w:pStyle w:val="body"/>
        <w:spacing w:before="240" w:line="276" w:lineRule="auto"/>
        <w:rPr>
          <w:rFonts w:ascii="Arial" w:hAnsi="Arial" w:cs="Arial"/>
          <w:b/>
          <w:bCs/>
          <w:color w:val="B79E38"/>
          <w:sz w:val="20"/>
          <w:szCs w:val="20"/>
        </w:rPr>
      </w:pPr>
    </w:p>
    <w:p w14:paraId="40AA2770" w14:textId="2EFE630B" w:rsidR="006E37AC" w:rsidRDefault="006E37AC" w:rsidP="006E37AC">
      <w:pPr>
        <w:pStyle w:val="body"/>
        <w:spacing w:before="240" w:line="276" w:lineRule="auto"/>
        <w:rPr>
          <w:rFonts w:ascii="Arial" w:hAnsi="Arial" w:cs="Arial"/>
          <w:b/>
          <w:bCs/>
          <w:color w:val="B79E38"/>
          <w:sz w:val="20"/>
          <w:szCs w:val="20"/>
        </w:rPr>
      </w:pPr>
    </w:p>
    <w:p w14:paraId="678CD4F8" w14:textId="77777777" w:rsidR="0036751A" w:rsidRDefault="0036751A" w:rsidP="006E37AC">
      <w:pPr>
        <w:spacing w:line="276" w:lineRule="auto"/>
        <w:rPr>
          <w:rFonts w:ascii="Arial" w:hAnsi="Arial" w:cs="Arial"/>
          <w:sz w:val="22"/>
          <w:szCs w:val="22"/>
        </w:rPr>
      </w:pPr>
    </w:p>
    <w:p w14:paraId="4E390E34" w14:textId="0EA192E3" w:rsidR="006E37AC" w:rsidRPr="0018091E" w:rsidRDefault="006E37AC" w:rsidP="006E37AC">
      <w:pPr>
        <w:spacing w:line="276" w:lineRule="auto"/>
        <w:rPr>
          <w:rFonts w:ascii="Arial" w:hAnsi="Arial" w:cs="Arial"/>
          <w:sz w:val="22"/>
          <w:szCs w:val="22"/>
        </w:rPr>
      </w:pPr>
      <w:r w:rsidRPr="0018091E">
        <w:rPr>
          <w:rFonts w:ascii="Arial" w:hAnsi="Arial" w:cs="Arial"/>
          <w:sz w:val="22"/>
          <w:szCs w:val="22"/>
        </w:rPr>
        <w:t xml:space="preserve">Economic evaluations have found that telemedicine is a cost-effective modality in several chronic-care settings, but with the sole exception of its use in the diagnosis of diabetic retinopathy, cost savings in diagnostic settings are equivocal or unclear. </w:t>
      </w:r>
      <w:r w:rsidRPr="0018091E">
        <w:rPr>
          <w:rFonts w:ascii="Arial" w:hAnsi="Arial" w:cs="Arial"/>
          <w:sz w:val="22"/>
          <w:szCs w:val="22"/>
        </w:rPr>
        <w:fldChar w:fldCharType="begin">
          <w:fldData xml:space="preserve">PEVuZE5vdGU+PENpdGU+PEF1dGhvcj5EZWxnb3NoYWVpPC9BdXRob3I+PFllYXI+MjAxNzwvWWVh
cj48UmVjTnVtPjU5PC9SZWNOdW0+PERpc3BsYXlUZXh0Pig2LCA3KTwvRGlzcGxheVRleHQ+PHJl
Y29yZD48cmVjLW51bWJlcj41OTwvcmVjLW51bWJlcj48Zm9yZWlnbi1rZXlzPjxrZXkgYXBwPSJF
TiIgZGItaWQ9Inp4eHcwc2RlOTI1ZXdmZWZwYXdwZDJ0NzlzOXJzMjBwcDBlcyIgdGltZXN0YW1w
PSIxNTk0MDU3MTk5Ij41OTwva2V5PjwvZm9yZWlnbi1rZXlzPjxyZWYtdHlwZSBuYW1lPSJKb3Vy
bmFsIEFydGljbGUiPjE3PC9yZWYtdHlwZT48Y29udHJpYnV0b3JzPjxhdXRob3JzPjxhdXRob3I+
RGVsZ29zaGFlaSwgQi48L2F1dGhvcj48YXV0aG9yPk1vYmluaXphZGVoLCBNLjwvYXV0aG9yPjxh
dXRob3I+TW9qZGVrYXIsIFIuPC9hdXRob3I+PGF1dGhvcj5BZnphbCwgRS48L2F1dGhvcj48YXV0
aG9yPkFyYWJsb28sIEouPC9hdXRob3I+PGF1dGhvcj5Nb2hhbWFkaSwgRS48L2F1dGhvcj48L2F1
dGhvcnM+PC9jb250cmlidXRvcnM+PGF1dGgtYWRkcmVzcz5EZXBhcnRtZW50IG9mIEhlYWx0aCBT
ZXJ2aWNlcyBBZG1pbmlzdHJhdGlvbiwgSXJhbiBVbml2ZXJzaXR5IG9mIE1lZGljYWwgU2NpZW5j
ZXMsIFRlaHJhbiwgSXJhbi4mI3hEO05hdGlvbmFsIEluc3RpdHV0ZSBmb3IgSGVhbHRoIFJlc2Vh
cmNoLCBUZWhyYW4gVW5pdmVyc2l0eSBvZiBNZWRpY2FsIFNjaWVuY2VzLCBUZWhyYW4sIElyYW4u
JiN4RDtTb2NpYWwgU2VjdXJpdHkgT3JnYW5pemF0aW9uLCBUZWhyYW4sIElyYW4uJiN4RDtIb3Nw
aXRhbCBNYW5hZ2VtZW50IFJlc2VhcmNoIENlbnRyZSwgSXJhbiBVbml2ZXJzaXR5IG9mIE1lZGlj
YWwgU2NpZW5jZXMsIFRlaHJhbiwgSXJhbi4mI3hEO0RlcGFydG1lbnQgb2YgSGVhbHRoIE1hbmFn
ZW1lbnQgYW5kIEVjb25vbWljcywgU2Nob29sIG9mIFB1YmxpYyBIZWFsdGgsIFRlaHJhbiBVbml2
ZXJzaXR5IG9mIE1lZGljYWwgU2NpZW5jZXMsIFRlaHJhbiwgSXJhbi48L2F1dGgtYWRkcmVzcz48
dGl0bGVzPjx0aXRsZT5UZWxlbWVkaWNpbmU6IEEgc3lzdGVtYXRpYyByZXZpZXcgb2YgZWNvbm9t
aWMgZXZhbHVhdGlvbnM8L3RpdGxlPjxzZWNvbmRhcnktdGl0bGU+TWVkIEogSXNsYW0gUmVwdWIg
SXJhbjwvc2Vjb25kYXJ5LXRpdGxlPjwvdGl0bGVzPjxwZXJpb2RpY2FsPjxmdWxsLXRpdGxlPk1l
ZCBKIElzbGFtIFJlcHViIElyYW48L2Z1bGwtdGl0bGU+PC9wZXJpb2RpY2FsPjxwYWdlcz4xMTM8
L3BhZ2VzPjx2b2x1bWU+MzE8L3ZvbHVtZT48ZWRpdGlvbj4yMDE4LzA2LzI5PC9lZGl0aW9uPjxr
ZXl3b3Jkcz48a2V5d29yZD5FY29ub21pY3M8L2tleXdvcmQ+PGtleXdvcmQ+UmV2aWV3PC9rZXl3
b3JkPjxrZXl3b3JkPlRlbGVtZWRpY2luZTwva2V5d29yZD48L2tleXdvcmRzPjxkYXRlcz48eWVh
cj4yMDE3PC95ZWFyPjwvZGF0ZXM+PGlzYm4+MTAxNi0xNDMwIChQcmludCkmI3hEOzEwMTYtMTQz
MDwvaXNibj48YWNjZXNzaW9uLW51bT4yOTk1MTQxNDwvYWNjZXNzaW9uLW51bT48dXJscz48L3Vy
bHM+PGN1c3RvbTI+UE1DNjAxNDgwNzwvY3VzdG9tMj48ZWxlY3Ryb25pYy1yZXNvdXJjZS1udW0+
MTAuMTQxOTYvbWppcmkuMzEuMTEzPC9lbGVjdHJvbmljLXJlc291cmNlLW51bT48cmVtb3RlLWRh
dGFiYXNlLXByb3ZpZGVyPk5MTTwvcmVtb3RlLWRhdGFiYXNlLXByb3ZpZGVyPjxsYW5ndWFnZT5l
bmc8L2xhbmd1YWdlPjwvcmVjb3JkPjwvQ2l0ZT48Q2l0ZT48QXV0aG9yPlNhbnlhaTwvQXV0aG9y
PjxZZWFyPjIwMTk8L1llYXI+PFJlY051bT4yOTkzPC9SZWNOdW0+PHJlY29yZD48cmVjLW51bWJl
cj4yOTkzPC9yZWMtbnVtYmVyPjxmb3JlaWduLWtleXM+PGtleSBhcHA9IkVOIiBkYi1pZD0ienh4
dzBzZGU5MjVld2ZlZnBhd3BkMnQ3OXM5cnMyMHBwMGVzIiB0aW1lc3RhbXA9IjE2MjE0MzcwMDMi
PjI5OTM8L2tleT48L2ZvcmVpZ24ta2V5cz48cmVmLXR5cGUgbmFtZT0iSm91cm5hbCBBcnRpY2xl
Ij4xNzwvcmVmLXR5cGU+PGNvbnRyaWJ1dG9ycz48YXV0aG9ycz48YXV0aG9yPlNhbnlhaSwgQzwv
YXV0aG9yPjxhdXRob3I+U3RvbGVlLCBQPC9hdXRob3I+PGF1dGhvcj5KdXp3aXNoaW4sIEQ8L2F1
dGhvcj48YXV0aG9yPkh1c2VyZWF1LCBEPC9hdXRob3I+PC9hdXRob3JzPjwvY29udHJpYnV0b3Jz
Pjx0aXRsZXM+PHRpdGxlPkVjb25vbWljIGV2YWx1YXRpb25zIG9mIHRlbGVoZWFsdGggdGVjaG5v
bG9naWVzOiBBIHN5c3RlbWF0aWMgcmV2aWV3PC90aXRsZT48c2Vjb25kYXJ5LXRpdGxlPlBMb1Mg
T25lPC9zZWNvbmRhcnktdGl0bGU+PC90aXRsZXM+PHBlcmlvZGljYWw+PGZ1bGwtdGl0bGU+UExv
UyBPbmU8L2Z1bGwtdGl0bGU+PC9wZXJpb2RpY2FsPjx2b2x1bWU+aHR0cHM6Ly9kb2kub3J0LjEw
LjEzNy9qb3VybmFsLnBvbmUuMDE5ODExMjwvdm9sdW1lPjxkYXRlcz48eWVhcj4yMDE5PC95ZWFy
PjwvZGF0ZXM+PHVybHM+PC91cmxzPjwvcmVjb3JkPjwvQ2l0ZT48L0VuZE5vdGU+AG==
</w:fldData>
        </w:fldChar>
      </w:r>
      <w:r w:rsidRPr="0018091E">
        <w:rPr>
          <w:rFonts w:ascii="Arial" w:hAnsi="Arial" w:cs="Arial"/>
          <w:sz w:val="22"/>
          <w:szCs w:val="22"/>
        </w:rPr>
        <w:instrText xml:space="preserve"> ADDIN EN.CITE </w:instrText>
      </w:r>
      <w:r w:rsidRPr="0018091E">
        <w:rPr>
          <w:rFonts w:ascii="Arial" w:hAnsi="Arial" w:cs="Arial"/>
          <w:sz w:val="22"/>
          <w:szCs w:val="22"/>
        </w:rPr>
        <w:fldChar w:fldCharType="begin">
          <w:fldData xml:space="preserve">PEVuZE5vdGU+PENpdGU+PEF1dGhvcj5EZWxnb3NoYWVpPC9BdXRob3I+PFllYXI+MjAxNzwvWWVh
cj48UmVjTnVtPjU5PC9SZWNOdW0+PERpc3BsYXlUZXh0Pig2LCA3KTwvRGlzcGxheVRleHQ+PHJl
Y29yZD48cmVjLW51bWJlcj41OTwvcmVjLW51bWJlcj48Zm9yZWlnbi1rZXlzPjxrZXkgYXBwPSJF
TiIgZGItaWQ9Inp4eHcwc2RlOTI1ZXdmZWZwYXdwZDJ0NzlzOXJzMjBwcDBlcyIgdGltZXN0YW1w
PSIxNTk0MDU3MTk5Ij41OTwva2V5PjwvZm9yZWlnbi1rZXlzPjxyZWYtdHlwZSBuYW1lPSJKb3Vy
bmFsIEFydGljbGUiPjE3PC9yZWYtdHlwZT48Y29udHJpYnV0b3JzPjxhdXRob3JzPjxhdXRob3I+
RGVsZ29zaGFlaSwgQi48L2F1dGhvcj48YXV0aG9yPk1vYmluaXphZGVoLCBNLjwvYXV0aG9yPjxh
dXRob3I+TW9qZGVrYXIsIFIuPC9hdXRob3I+PGF1dGhvcj5BZnphbCwgRS48L2F1dGhvcj48YXV0
aG9yPkFyYWJsb28sIEouPC9hdXRob3I+PGF1dGhvcj5Nb2hhbWFkaSwgRS48L2F1dGhvcj48L2F1
dGhvcnM+PC9jb250cmlidXRvcnM+PGF1dGgtYWRkcmVzcz5EZXBhcnRtZW50IG9mIEhlYWx0aCBT
ZXJ2aWNlcyBBZG1pbmlzdHJhdGlvbiwgSXJhbiBVbml2ZXJzaXR5IG9mIE1lZGljYWwgU2NpZW5j
ZXMsIFRlaHJhbiwgSXJhbi4mI3hEO05hdGlvbmFsIEluc3RpdHV0ZSBmb3IgSGVhbHRoIFJlc2Vh
cmNoLCBUZWhyYW4gVW5pdmVyc2l0eSBvZiBNZWRpY2FsIFNjaWVuY2VzLCBUZWhyYW4sIElyYW4u
JiN4RDtTb2NpYWwgU2VjdXJpdHkgT3JnYW5pemF0aW9uLCBUZWhyYW4sIElyYW4uJiN4RDtIb3Nw
aXRhbCBNYW5hZ2VtZW50IFJlc2VhcmNoIENlbnRyZSwgSXJhbiBVbml2ZXJzaXR5IG9mIE1lZGlj
YWwgU2NpZW5jZXMsIFRlaHJhbiwgSXJhbi4mI3hEO0RlcGFydG1lbnQgb2YgSGVhbHRoIE1hbmFn
ZW1lbnQgYW5kIEVjb25vbWljcywgU2Nob29sIG9mIFB1YmxpYyBIZWFsdGgsIFRlaHJhbiBVbml2
ZXJzaXR5IG9mIE1lZGljYWwgU2NpZW5jZXMsIFRlaHJhbiwgSXJhbi48L2F1dGgtYWRkcmVzcz48
dGl0bGVzPjx0aXRsZT5UZWxlbWVkaWNpbmU6IEEgc3lzdGVtYXRpYyByZXZpZXcgb2YgZWNvbm9t
aWMgZXZhbHVhdGlvbnM8L3RpdGxlPjxzZWNvbmRhcnktdGl0bGU+TWVkIEogSXNsYW0gUmVwdWIg
SXJhbjwvc2Vjb25kYXJ5LXRpdGxlPjwvdGl0bGVzPjxwZXJpb2RpY2FsPjxmdWxsLXRpdGxlPk1l
ZCBKIElzbGFtIFJlcHViIElyYW48L2Z1bGwtdGl0bGU+PC9wZXJpb2RpY2FsPjxwYWdlcz4xMTM8
L3BhZ2VzPjx2b2x1bWU+MzE8L3ZvbHVtZT48ZWRpdGlvbj4yMDE4LzA2LzI5PC9lZGl0aW9uPjxr
ZXl3b3Jkcz48a2V5d29yZD5FY29ub21pY3M8L2tleXdvcmQ+PGtleXdvcmQ+UmV2aWV3PC9rZXl3
b3JkPjxrZXl3b3JkPlRlbGVtZWRpY2luZTwva2V5d29yZD48L2tleXdvcmRzPjxkYXRlcz48eWVh
cj4yMDE3PC95ZWFyPjwvZGF0ZXM+PGlzYm4+MTAxNi0xNDMwIChQcmludCkmI3hEOzEwMTYtMTQz
MDwvaXNibj48YWNjZXNzaW9uLW51bT4yOTk1MTQxNDwvYWNjZXNzaW9uLW51bT48dXJscz48L3Vy
bHM+PGN1c3RvbTI+UE1DNjAxNDgwNzwvY3VzdG9tMj48ZWxlY3Ryb25pYy1yZXNvdXJjZS1udW0+
MTAuMTQxOTYvbWppcmkuMzEuMTEzPC9lbGVjdHJvbmljLXJlc291cmNlLW51bT48cmVtb3RlLWRh
dGFiYXNlLXByb3ZpZGVyPk5MTTwvcmVtb3RlLWRhdGFiYXNlLXByb3ZpZGVyPjxsYW5ndWFnZT5l
bmc8L2xhbmd1YWdlPjwvcmVjb3JkPjwvQ2l0ZT48Q2l0ZT48QXV0aG9yPlNhbnlhaTwvQXV0aG9y
PjxZZWFyPjIwMTk8L1llYXI+PFJlY051bT4yOTkzPC9SZWNOdW0+PHJlY29yZD48cmVjLW51bWJl
cj4yOTkzPC9yZWMtbnVtYmVyPjxmb3JlaWduLWtleXM+PGtleSBhcHA9IkVOIiBkYi1pZD0ienh4
dzBzZGU5MjVld2ZlZnBhd3BkMnQ3OXM5cnMyMHBwMGVzIiB0aW1lc3RhbXA9IjE2MjE0MzcwMDMi
PjI5OTM8L2tleT48L2ZvcmVpZ24ta2V5cz48cmVmLXR5cGUgbmFtZT0iSm91cm5hbCBBcnRpY2xl
Ij4xNzwvcmVmLXR5cGU+PGNvbnRyaWJ1dG9ycz48YXV0aG9ycz48YXV0aG9yPlNhbnlhaSwgQzwv
YXV0aG9yPjxhdXRob3I+U3RvbGVlLCBQPC9hdXRob3I+PGF1dGhvcj5KdXp3aXNoaW4sIEQ8L2F1
dGhvcj48YXV0aG9yPkh1c2VyZWF1LCBEPC9hdXRob3I+PC9hdXRob3JzPjwvY29udHJpYnV0b3Jz
Pjx0aXRsZXM+PHRpdGxlPkVjb25vbWljIGV2YWx1YXRpb25zIG9mIHRlbGVoZWFsdGggdGVjaG5v
bG9naWVzOiBBIHN5c3RlbWF0aWMgcmV2aWV3PC90aXRsZT48c2Vjb25kYXJ5LXRpdGxlPlBMb1Mg
T25lPC9zZWNvbmRhcnktdGl0bGU+PC90aXRsZXM+PHBlcmlvZGljYWw+PGZ1bGwtdGl0bGU+UExv
UyBPbmU8L2Z1bGwtdGl0bGU+PC9wZXJpb2RpY2FsPjx2b2x1bWU+aHR0cHM6Ly9kb2kub3J0LjEw
LjEzNy9qb3VybmFsLnBvbmUuMDE5ODExMjwvdm9sdW1lPjxkYXRlcz48eWVhcj4yMDE5PC95ZWFy
PjwvZGF0ZXM+PHVybHM+PC91cmxzPjwvcmVjb3JkPjwvQ2l0ZT48L0VuZE5vdGU+AG==
</w:fldData>
        </w:fldChar>
      </w:r>
      <w:r w:rsidRPr="0018091E">
        <w:rPr>
          <w:rFonts w:ascii="Arial" w:hAnsi="Arial" w:cs="Arial"/>
          <w:sz w:val="22"/>
          <w:szCs w:val="22"/>
        </w:rPr>
        <w:instrText xml:space="preserve"> ADDIN EN.CITE.DATA </w:instrText>
      </w:r>
      <w:r w:rsidRPr="0018091E">
        <w:rPr>
          <w:rFonts w:ascii="Arial" w:hAnsi="Arial" w:cs="Arial"/>
          <w:sz w:val="22"/>
          <w:szCs w:val="22"/>
        </w:rPr>
      </w:r>
      <w:r w:rsidRPr="0018091E">
        <w:rPr>
          <w:rFonts w:ascii="Arial" w:hAnsi="Arial" w:cs="Arial"/>
          <w:sz w:val="22"/>
          <w:szCs w:val="22"/>
        </w:rPr>
        <w:fldChar w:fldCharType="end"/>
      </w:r>
      <w:r w:rsidRPr="0018091E">
        <w:rPr>
          <w:rFonts w:ascii="Arial" w:hAnsi="Arial" w:cs="Arial"/>
          <w:sz w:val="22"/>
          <w:szCs w:val="22"/>
        </w:rPr>
      </w:r>
      <w:r w:rsidRPr="0018091E">
        <w:rPr>
          <w:rFonts w:ascii="Arial" w:hAnsi="Arial" w:cs="Arial"/>
          <w:sz w:val="22"/>
          <w:szCs w:val="22"/>
        </w:rPr>
        <w:fldChar w:fldCharType="separate"/>
      </w:r>
      <w:r w:rsidRPr="0018091E">
        <w:rPr>
          <w:rFonts w:ascii="Arial" w:hAnsi="Arial" w:cs="Arial"/>
          <w:noProof/>
          <w:sz w:val="22"/>
          <w:szCs w:val="22"/>
        </w:rPr>
        <w:t>(6, 7)</w:t>
      </w:r>
      <w:r w:rsidRPr="0018091E">
        <w:rPr>
          <w:rFonts w:ascii="Arial" w:hAnsi="Arial" w:cs="Arial"/>
          <w:sz w:val="22"/>
          <w:szCs w:val="22"/>
        </w:rPr>
        <w:fldChar w:fldCharType="end"/>
      </w:r>
      <w:r w:rsidRPr="0018091E">
        <w:rPr>
          <w:rFonts w:ascii="Arial" w:hAnsi="Arial" w:cs="Arial"/>
          <w:sz w:val="22"/>
          <w:szCs w:val="22"/>
        </w:rPr>
        <w:t xml:space="preserve">   The economic consequences of using telehealth at scale for diagnosis in primary care have not been evaluated, to our knowledge.</w:t>
      </w:r>
    </w:p>
    <w:p w14:paraId="7DE2B57B" w14:textId="1053F53C" w:rsidR="006E37AC" w:rsidRPr="0018091E" w:rsidRDefault="006E37AC" w:rsidP="006E37AC">
      <w:pPr>
        <w:spacing w:line="276" w:lineRule="auto"/>
        <w:rPr>
          <w:rFonts w:ascii="Arial" w:hAnsi="Arial" w:cs="Arial"/>
          <w:sz w:val="22"/>
          <w:szCs w:val="22"/>
        </w:rPr>
      </w:pPr>
    </w:p>
    <w:p w14:paraId="7D5932A8" w14:textId="1A2F0757" w:rsidR="006E37AC" w:rsidRPr="0018091E" w:rsidRDefault="0018091E" w:rsidP="006E37AC">
      <w:pPr>
        <w:spacing w:line="276" w:lineRule="auto"/>
        <w:rPr>
          <w:rFonts w:ascii="Arial" w:hAnsi="Arial" w:cs="Arial"/>
          <w:sz w:val="22"/>
          <w:szCs w:val="22"/>
        </w:rPr>
      </w:pPr>
      <w:r w:rsidRPr="00B979FB">
        <w:rPr>
          <w:noProof/>
        </w:rPr>
        <w:drawing>
          <wp:anchor distT="0" distB="0" distL="114300" distR="114300" simplePos="0" relativeHeight="251658239" behindDoc="1" locked="0" layoutInCell="1" allowOverlap="1" wp14:anchorId="49C18CFB" wp14:editId="4B87C2D3">
            <wp:simplePos x="0" y="0"/>
            <wp:positionH relativeFrom="column">
              <wp:posOffset>260350</wp:posOffset>
            </wp:positionH>
            <wp:positionV relativeFrom="paragraph">
              <wp:posOffset>1372961</wp:posOffset>
            </wp:positionV>
            <wp:extent cx="5355771" cy="3241965"/>
            <wp:effectExtent l="0" t="0" r="3810" b="0"/>
            <wp:wrapNone/>
            <wp:docPr id="17" name="Picture 17"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imeli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355771" cy="3241965"/>
                    </a:xfrm>
                    <a:prstGeom prst="rect">
                      <a:avLst/>
                    </a:prstGeom>
                  </pic:spPr>
                </pic:pic>
              </a:graphicData>
            </a:graphic>
            <wp14:sizeRelH relativeFrom="page">
              <wp14:pctWidth>0</wp14:pctWidth>
            </wp14:sizeRelH>
            <wp14:sizeRelV relativeFrom="page">
              <wp14:pctHeight>0</wp14:pctHeight>
            </wp14:sizeRelV>
          </wp:anchor>
        </w:drawing>
      </w:r>
      <w:r w:rsidR="006E37AC" w:rsidRPr="0018091E">
        <w:rPr>
          <w:rFonts w:ascii="Arial" w:hAnsi="Arial" w:cs="Arial"/>
          <w:sz w:val="22"/>
          <w:szCs w:val="22"/>
        </w:rPr>
        <w:t>Payers and insurers are trying to decide what their coverage policies will be going forward.  CMS provided full payment for virtual visits in 2020 and most private insurers followed suit, many even waiving copayments as well.  Whether these will be continued, or at the same levels, is unclear, and the outcomes will hinge on both state and federal policy decisions.  The American Medical Association is making the case that telehealth these decisions should be based on a holistic evaluation of telehealth’s value across a number of dimensions.</w:t>
      </w:r>
      <w:r w:rsidR="006E37AC" w:rsidRPr="0018091E">
        <w:rPr>
          <w:rFonts w:ascii="Arial" w:hAnsi="Arial" w:cs="Arial"/>
          <w:b/>
          <w:bCs/>
          <w:sz w:val="22"/>
          <w:szCs w:val="22"/>
        </w:rPr>
        <w:t>(Figure 3)</w:t>
      </w:r>
      <w:r w:rsidR="006E37AC" w:rsidRPr="0018091E">
        <w:rPr>
          <w:rFonts w:ascii="Arial" w:hAnsi="Arial" w:cs="Arial"/>
          <w:sz w:val="22"/>
          <w:szCs w:val="22"/>
        </w:rPr>
        <w:t xml:space="preserve">  This vision aligns with the emerging consensus that healthcare going forward will operate in a hybrid fashion, spanning the continuum of care from diagnosis to treatment.</w:t>
      </w:r>
      <w:r w:rsidR="006E37AC" w:rsidRPr="0018091E">
        <w:rPr>
          <w:rFonts w:ascii="Arial" w:hAnsi="Arial" w:cs="Arial"/>
          <w:sz w:val="22"/>
          <w:szCs w:val="22"/>
        </w:rPr>
        <w:fldChar w:fldCharType="begin"/>
      </w:r>
      <w:r w:rsidR="006E37AC" w:rsidRPr="0018091E">
        <w:rPr>
          <w:rFonts w:ascii="Arial" w:hAnsi="Arial" w:cs="Arial"/>
          <w:sz w:val="22"/>
          <w:szCs w:val="22"/>
        </w:rPr>
        <w:instrText xml:space="preserve"> ADDIN EN.CITE &lt;EndNote&gt;&lt;Cite&gt;&lt;Author&gt;American Medical Association&lt;/Author&gt;&lt;Year&gt;2021&lt;/Year&gt;&lt;RecNum&gt;2997&lt;/RecNum&gt;&lt;DisplayText&gt;(8)&lt;/DisplayText&gt;&lt;record&gt;&lt;rec-number&gt;2997&lt;/rec-number&gt;&lt;foreign-keys&gt;&lt;key app="EN" db-id="zxxw0sde925ewfefpawpd2t79s9rs20pp0es" timestamp="1621776004"&gt;2997&lt;/key&gt;&lt;/foreign-keys&gt;&lt;ref-type name="Journal Article"&gt;17&lt;/ref-type&gt;&lt;contributors&gt;&lt;authors&gt;&lt;author&gt;American Medical Association,&lt;/author&gt;&lt;/authors&gt;&lt;/contributors&gt;&lt;titles&gt;&lt;title&gt;AMA’s Return on Health&lt;/title&gt;&lt;secondary-title&gt;Available at: https://www.ama-assn.org/practice-management/digital/amas-return-health&lt;/secondary-title&gt;&lt;/titles&gt;&lt;periodical&gt;&lt;full-title&gt;Available at: https://www.ama-assn.org/practice-management/digital/amas-return-health&lt;/full-title&gt;&lt;/periodical&gt;&lt;dates&gt;&lt;year&gt;2021&lt;/year&gt;&lt;/dates&gt;&lt;urls&gt;&lt;/urls&gt;&lt;/record&gt;&lt;/Cite&gt;&lt;/EndNote&gt;</w:instrText>
      </w:r>
      <w:r w:rsidR="006E37AC" w:rsidRPr="0018091E">
        <w:rPr>
          <w:rFonts w:ascii="Arial" w:hAnsi="Arial" w:cs="Arial"/>
          <w:sz w:val="22"/>
          <w:szCs w:val="22"/>
        </w:rPr>
        <w:fldChar w:fldCharType="separate"/>
      </w:r>
      <w:r w:rsidR="006E37AC" w:rsidRPr="0018091E">
        <w:rPr>
          <w:rFonts w:ascii="Arial" w:hAnsi="Arial" w:cs="Arial"/>
          <w:noProof/>
          <w:sz w:val="22"/>
          <w:szCs w:val="22"/>
        </w:rPr>
        <w:t>(8)</w:t>
      </w:r>
      <w:r w:rsidR="006E37AC" w:rsidRPr="0018091E">
        <w:rPr>
          <w:rFonts w:ascii="Arial" w:hAnsi="Arial" w:cs="Arial"/>
          <w:sz w:val="22"/>
          <w:szCs w:val="22"/>
        </w:rPr>
        <w:fldChar w:fldCharType="end"/>
      </w:r>
    </w:p>
    <w:p w14:paraId="5AB7C788" w14:textId="2AC31CA7" w:rsidR="006E37AC" w:rsidRDefault="006E37AC" w:rsidP="006E37AC">
      <w:pPr>
        <w:pStyle w:val="body"/>
        <w:spacing w:before="240" w:line="276" w:lineRule="auto"/>
        <w:rPr>
          <w:rFonts w:ascii="Arial" w:hAnsi="Arial" w:cs="Arial"/>
          <w:b/>
          <w:bCs/>
          <w:color w:val="B79E38"/>
          <w:sz w:val="20"/>
          <w:szCs w:val="20"/>
        </w:rPr>
      </w:pPr>
    </w:p>
    <w:p w14:paraId="7494EFE4" w14:textId="26D0AE7E" w:rsidR="0018091E" w:rsidRPr="006E37AC" w:rsidRDefault="0018091E" w:rsidP="006E37AC">
      <w:pPr>
        <w:pStyle w:val="body"/>
        <w:spacing w:before="240" w:line="276" w:lineRule="auto"/>
        <w:rPr>
          <w:rFonts w:ascii="Arial" w:hAnsi="Arial" w:cs="Arial"/>
          <w:b/>
          <w:bCs/>
          <w:color w:val="B79E38"/>
          <w:sz w:val="20"/>
          <w:szCs w:val="20"/>
        </w:rPr>
      </w:pPr>
    </w:p>
    <w:p w14:paraId="576E900F" w14:textId="77777777" w:rsidR="006E37AC" w:rsidRPr="006E37AC" w:rsidRDefault="006E37AC" w:rsidP="006E37AC">
      <w:pPr>
        <w:pStyle w:val="body"/>
        <w:spacing w:before="240" w:line="276" w:lineRule="auto"/>
        <w:rPr>
          <w:rFonts w:ascii="Arial" w:hAnsi="Arial" w:cs="Arial"/>
          <w:b/>
          <w:bCs/>
          <w:color w:val="B79E38"/>
          <w:sz w:val="20"/>
          <w:szCs w:val="20"/>
        </w:rPr>
      </w:pPr>
    </w:p>
    <w:p w14:paraId="47997F9E" w14:textId="77777777" w:rsidR="006E37AC" w:rsidRPr="006E37AC" w:rsidRDefault="006E37AC" w:rsidP="006E37AC">
      <w:pPr>
        <w:pStyle w:val="body"/>
        <w:spacing w:before="240" w:line="276" w:lineRule="auto"/>
        <w:rPr>
          <w:rFonts w:ascii="Arial" w:hAnsi="Arial" w:cs="Arial"/>
          <w:b/>
          <w:bCs/>
          <w:color w:val="B79E38"/>
          <w:sz w:val="20"/>
          <w:szCs w:val="20"/>
        </w:rPr>
      </w:pPr>
    </w:p>
    <w:p w14:paraId="664B7272" w14:textId="77777777" w:rsidR="006E37AC" w:rsidRDefault="006E37AC" w:rsidP="00EA41B8">
      <w:pPr>
        <w:pStyle w:val="body"/>
        <w:spacing w:before="240" w:line="276" w:lineRule="auto"/>
        <w:rPr>
          <w:rFonts w:ascii="Arial" w:hAnsi="Arial" w:cs="Arial"/>
          <w:b/>
          <w:bCs/>
          <w:color w:val="B79E38"/>
          <w:sz w:val="20"/>
          <w:szCs w:val="20"/>
        </w:rPr>
      </w:pPr>
    </w:p>
    <w:p w14:paraId="5866B417" w14:textId="77777777" w:rsidR="0018091E" w:rsidRDefault="0018091E" w:rsidP="00EA41B8">
      <w:pPr>
        <w:pStyle w:val="body"/>
        <w:spacing w:before="240" w:line="276" w:lineRule="auto"/>
        <w:rPr>
          <w:rFonts w:ascii="Arial" w:hAnsi="Arial" w:cs="Arial"/>
          <w:b/>
          <w:bCs/>
          <w:color w:val="B79E38"/>
          <w:sz w:val="20"/>
          <w:szCs w:val="20"/>
        </w:rPr>
      </w:pPr>
    </w:p>
    <w:p w14:paraId="63001DA3" w14:textId="5ADE2416" w:rsidR="0018091E" w:rsidRDefault="0018091E" w:rsidP="00EA41B8">
      <w:pPr>
        <w:pStyle w:val="body"/>
        <w:spacing w:before="240" w:line="276" w:lineRule="auto"/>
        <w:rPr>
          <w:rFonts w:ascii="Arial" w:hAnsi="Arial" w:cs="Arial"/>
          <w:b/>
          <w:bCs/>
          <w:color w:val="B79E38"/>
          <w:sz w:val="20"/>
          <w:szCs w:val="20"/>
        </w:rPr>
      </w:pPr>
    </w:p>
    <w:p w14:paraId="171B3723" w14:textId="0536B87D" w:rsidR="0018091E" w:rsidRDefault="0018091E" w:rsidP="00EA41B8">
      <w:pPr>
        <w:pStyle w:val="body"/>
        <w:spacing w:before="240" w:line="276" w:lineRule="auto"/>
        <w:rPr>
          <w:rFonts w:ascii="Arial" w:hAnsi="Arial" w:cs="Arial"/>
          <w:b/>
          <w:bCs/>
          <w:color w:val="B79E38"/>
          <w:sz w:val="20"/>
          <w:szCs w:val="20"/>
        </w:rPr>
      </w:pPr>
    </w:p>
    <w:p w14:paraId="1F5055B9" w14:textId="67F56A87" w:rsidR="0018091E" w:rsidRDefault="0018091E" w:rsidP="00EA41B8">
      <w:pPr>
        <w:pStyle w:val="body"/>
        <w:spacing w:before="240" w:line="276" w:lineRule="auto"/>
        <w:rPr>
          <w:rFonts w:ascii="Arial" w:hAnsi="Arial" w:cs="Arial"/>
          <w:b/>
          <w:bCs/>
          <w:color w:val="B79E38"/>
          <w:sz w:val="20"/>
          <w:szCs w:val="20"/>
        </w:rPr>
      </w:pPr>
    </w:p>
    <w:p w14:paraId="3ECBE0CF" w14:textId="77777777" w:rsidR="0036751A" w:rsidRDefault="0018091E" w:rsidP="0036751A">
      <w:pPr>
        <w:rPr>
          <w:rFonts w:ascii="Arial" w:hAnsi="Arial" w:cs="Arial"/>
          <w:b/>
          <w:bCs/>
          <w:sz w:val="20"/>
          <w:szCs w:val="20"/>
        </w:rPr>
      </w:pPr>
      <w:r w:rsidRPr="00F75658">
        <w:rPr>
          <w:rFonts w:ascii="Arial" w:hAnsi="Arial" w:cs="Arial"/>
          <w:b/>
          <w:bCs/>
          <w:sz w:val="20"/>
          <w:szCs w:val="20"/>
        </w:rPr>
        <w:t>Figure 3:  The AMA’s “Virtual Care Value Stream”</w:t>
      </w:r>
    </w:p>
    <w:p w14:paraId="715CDF5A" w14:textId="77777777" w:rsidR="0036751A" w:rsidRDefault="0036751A" w:rsidP="0036751A">
      <w:pPr>
        <w:rPr>
          <w:rFonts w:ascii="Arial" w:hAnsi="Arial" w:cs="Arial"/>
          <w:b/>
          <w:bCs/>
          <w:sz w:val="20"/>
          <w:szCs w:val="20"/>
        </w:rPr>
      </w:pPr>
    </w:p>
    <w:p w14:paraId="7AC23EF4" w14:textId="2E7C4B2E" w:rsidR="00F75658" w:rsidRPr="0036751A" w:rsidRDefault="00F75658" w:rsidP="0036751A">
      <w:pPr>
        <w:rPr>
          <w:rFonts w:ascii="Arial" w:hAnsi="Arial" w:cs="Arial"/>
          <w:b/>
          <w:bCs/>
          <w:sz w:val="20"/>
          <w:szCs w:val="20"/>
        </w:rPr>
      </w:pPr>
      <w:r w:rsidRPr="00F75658">
        <w:rPr>
          <w:rFonts w:ascii="Arial" w:hAnsi="Arial" w:cs="Arial"/>
          <w:color w:val="000000" w:themeColor="text1"/>
          <w:sz w:val="22"/>
          <w:szCs w:val="22"/>
        </w:rPr>
        <w:t xml:space="preserve">Telehealth companies are ready and eager to provide virtual services for patients, but need answers to the many questions about coverage, and ideally a uniform, national approach to payment.  </w:t>
      </w:r>
      <w:r w:rsidRPr="00F75658">
        <w:rPr>
          <w:rFonts w:ascii="Arial" w:hAnsi="Arial" w:cs="Arial"/>
          <w:color w:val="000000" w:themeColor="text1"/>
          <w:spacing w:val="-2"/>
          <w:kern w:val="1"/>
          <w:sz w:val="22"/>
          <w:szCs w:val="22"/>
        </w:rPr>
        <w:t>“</w:t>
      </w:r>
      <w:r w:rsidRPr="00F75658">
        <w:rPr>
          <w:rFonts w:ascii="Arial" w:hAnsi="Arial" w:cs="Arial"/>
          <w:i/>
          <w:iCs/>
          <w:color w:val="000000" w:themeColor="text1"/>
          <w:spacing w:val="-12"/>
          <w:kern w:val="1"/>
          <w:sz w:val="22"/>
          <w:szCs w:val="22"/>
        </w:rPr>
        <w:t>T</w:t>
      </w:r>
      <w:r w:rsidRPr="00F75658">
        <w:rPr>
          <w:rFonts w:ascii="Arial" w:hAnsi="Arial" w:cs="Arial"/>
          <w:i/>
          <w:iCs/>
          <w:color w:val="000000" w:themeColor="text1"/>
          <w:spacing w:val="-4"/>
          <w:kern w:val="1"/>
          <w:sz w:val="22"/>
          <w:szCs w:val="22"/>
        </w:rPr>
        <w:t>h</w:t>
      </w:r>
      <w:r w:rsidRPr="00F75658">
        <w:rPr>
          <w:rFonts w:ascii="Arial" w:hAnsi="Arial" w:cs="Arial"/>
          <w:i/>
          <w:iCs/>
          <w:color w:val="000000" w:themeColor="text1"/>
          <w:kern w:val="1"/>
          <w:sz w:val="22"/>
          <w:szCs w:val="22"/>
        </w:rPr>
        <w:t xml:space="preserve">e </w:t>
      </w:r>
      <w:r w:rsidRPr="00F75658">
        <w:rPr>
          <w:rFonts w:ascii="Arial" w:hAnsi="Arial" w:cs="Arial"/>
          <w:i/>
          <w:iCs/>
          <w:color w:val="000000" w:themeColor="text1"/>
          <w:spacing w:val="-4"/>
          <w:kern w:val="1"/>
          <w:sz w:val="22"/>
          <w:szCs w:val="22"/>
        </w:rPr>
        <w:t>b</w:t>
      </w:r>
      <w:r w:rsidRPr="00F75658">
        <w:rPr>
          <w:rFonts w:ascii="Arial" w:hAnsi="Arial" w:cs="Arial"/>
          <w:i/>
          <w:iCs/>
          <w:color w:val="000000" w:themeColor="text1"/>
          <w:spacing w:val="-2"/>
          <w:kern w:val="1"/>
          <w:sz w:val="22"/>
          <w:szCs w:val="22"/>
        </w:rPr>
        <w:t>u</w:t>
      </w:r>
      <w:r w:rsidRPr="00F75658">
        <w:rPr>
          <w:rFonts w:ascii="Arial" w:hAnsi="Arial" w:cs="Arial"/>
          <w:i/>
          <w:iCs/>
          <w:color w:val="000000" w:themeColor="text1"/>
          <w:spacing w:val="-5"/>
          <w:kern w:val="1"/>
          <w:sz w:val="22"/>
          <w:szCs w:val="22"/>
        </w:rPr>
        <w:t>s</w:t>
      </w:r>
      <w:r w:rsidRPr="00F75658">
        <w:rPr>
          <w:rFonts w:ascii="Arial" w:hAnsi="Arial" w:cs="Arial"/>
          <w:i/>
          <w:iCs/>
          <w:color w:val="000000" w:themeColor="text1"/>
          <w:spacing w:val="-6"/>
          <w:kern w:val="1"/>
          <w:sz w:val="22"/>
          <w:szCs w:val="22"/>
        </w:rPr>
        <w:t>i</w:t>
      </w:r>
      <w:r w:rsidRPr="00F75658">
        <w:rPr>
          <w:rFonts w:ascii="Arial" w:hAnsi="Arial" w:cs="Arial"/>
          <w:i/>
          <w:iCs/>
          <w:color w:val="000000" w:themeColor="text1"/>
          <w:spacing w:val="-4"/>
          <w:kern w:val="1"/>
          <w:sz w:val="22"/>
          <w:szCs w:val="22"/>
        </w:rPr>
        <w:t>n</w:t>
      </w:r>
      <w:r w:rsidRPr="00F75658">
        <w:rPr>
          <w:rFonts w:ascii="Arial" w:hAnsi="Arial" w:cs="Arial"/>
          <w:i/>
          <w:iCs/>
          <w:color w:val="000000" w:themeColor="text1"/>
          <w:kern w:val="1"/>
          <w:sz w:val="22"/>
          <w:szCs w:val="22"/>
        </w:rPr>
        <w:t>e</w:t>
      </w:r>
      <w:r w:rsidRPr="00F75658">
        <w:rPr>
          <w:rFonts w:ascii="Arial" w:hAnsi="Arial" w:cs="Arial"/>
          <w:i/>
          <w:iCs/>
          <w:color w:val="000000" w:themeColor="text1"/>
          <w:spacing w:val="-1"/>
          <w:kern w:val="1"/>
          <w:sz w:val="22"/>
          <w:szCs w:val="22"/>
        </w:rPr>
        <w:t>s</w:t>
      </w:r>
      <w:r w:rsidRPr="00F75658">
        <w:rPr>
          <w:rFonts w:ascii="Arial" w:hAnsi="Arial" w:cs="Arial"/>
          <w:i/>
          <w:iCs/>
          <w:color w:val="000000" w:themeColor="text1"/>
          <w:kern w:val="1"/>
          <w:sz w:val="22"/>
          <w:szCs w:val="22"/>
        </w:rPr>
        <w:t xml:space="preserve">s </w:t>
      </w:r>
      <w:r w:rsidRPr="00F75658">
        <w:rPr>
          <w:rFonts w:ascii="Arial" w:hAnsi="Arial" w:cs="Arial"/>
          <w:i/>
          <w:iCs/>
          <w:color w:val="000000" w:themeColor="text1"/>
          <w:spacing w:val="-4"/>
          <w:kern w:val="1"/>
          <w:sz w:val="22"/>
          <w:szCs w:val="22"/>
        </w:rPr>
        <w:t>c</w:t>
      </w:r>
      <w:r w:rsidRPr="00F75658">
        <w:rPr>
          <w:rFonts w:ascii="Arial" w:hAnsi="Arial" w:cs="Arial"/>
          <w:i/>
          <w:iCs/>
          <w:color w:val="000000" w:themeColor="text1"/>
          <w:spacing w:val="-1"/>
          <w:kern w:val="1"/>
          <w:sz w:val="22"/>
          <w:szCs w:val="22"/>
        </w:rPr>
        <w:t>as</w:t>
      </w:r>
      <w:r w:rsidRPr="00F75658">
        <w:rPr>
          <w:rFonts w:ascii="Arial" w:hAnsi="Arial" w:cs="Arial"/>
          <w:i/>
          <w:iCs/>
          <w:color w:val="000000" w:themeColor="text1"/>
          <w:kern w:val="1"/>
          <w:sz w:val="22"/>
          <w:szCs w:val="22"/>
        </w:rPr>
        <w:t xml:space="preserve">e </w:t>
      </w:r>
      <w:r w:rsidRPr="00F75658">
        <w:rPr>
          <w:rFonts w:ascii="Arial" w:hAnsi="Arial" w:cs="Arial"/>
          <w:i/>
          <w:iCs/>
          <w:color w:val="000000" w:themeColor="text1"/>
          <w:spacing w:val="-4"/>
          <w:kern w:val="1"/>
          <w:sz w:val="22"/>
          <w:szCs w:val="22"/>
        </w:rPr>
        <w:t>n</w:t>
      </w:r>
      <w:r w:rsidRPr="00F75658">
        <w:rPr>
          <w:rFonts w:ascii="Arial" w:hAnsi="Arial" w:cs="Arial"/>
          <w:i/>
          <w:iCs/>
          <w:color w:val="000000" w:themeColor="text1"/>
          <w:kern w:val="1"/>
          <w:sz w:val="22"/>
          <w:szCs w:val="22"/>
        </w:rPr>
        <w:t>e</w:t>
      </w:r>
      <w:r w:rsidRPr="00F75658">
        <w:rPr>
          <w:rFonts w:ascii="Arial" w:hAnsi="Arial" w:cs="Arial"/>
          <w:i/>
          <w:iCs/>
          <w:color w:val="000000" w:themeColor="text1"/>
          <w:spacing w:val="-1"/>
          <w:kern w:val="1"/>
          <w:sz w:val="22"/>
          <w:szCs w:val="22"/>
        </w:rPr>
        <w:t>e</w:t>
      </w:r>
      <w:r w:rsidRPr="00F75658">
        <w:rPr>
          <w:rFonts w:ascii="Arial" w:hAnsi="Arial" w:cs="Arial"/>
          <w:i/>
          <w:iCs/>
          <w:color w:val="000000" w:themeColor="text1"/>
          <w:spacing w:val="-3"/>
          <w:kern w:val="1"/>
          <w:sz w:val="22"/>
          <w:szCs w:val="22"/>
        </w:rPr>
        <w:t>d</w:t>
      </w:r>
      <w:r w:rsidRPr="00F75658">
        <w:rPr>
          <w:rFonts w:ascii="Arial" w:hAnsi="Arial" w:cs="Arial"/>
          <w:i/>
          <w:iCs/>
          <w:color w:val="000000" w:themeColor="text1"/>
          <w:kern w:val="1"/>
          <w:sz w:val="22"/>
          <w:szCs w:val="22"/>
        </w:rPr>
        <w:t xml:space="preserve">s </w:t>
      </w:r>
      <w:r w:rsidRPr="00F75658">
        <w:rPr>
          <w:rFonts w:ascii="Arial" w:hAnsi="Arial" w:cs="Arial"/>
          <w:i/>
          <w:iCs/>
          <w:color w:val="000000" w:themeColor="text1"/>
          <w:spacing w:val="-7"/>
          <w:kern w:val="1"/>
          <w:sz w:val="22"/>
          <w:szCs w:val="22"/>
        </w:rPr>
        <w:t>t</w:t>
      </w:r>
      <w:r w:rsidRPr="00F75658">
        <w:rPr>
          <w:rFonts w:ascii="Arial" w:hAnsi="Arial" w:cs="Arial"/>
          <w:i/>
          <w:iCs/>
          <w:color w:val="000000" w:themeColor="text1"/>
          <w:kern w:val="1"/>
          <w:sz w:val="22"/>
          <w:szCs w:val="22"/>
        </w:rPr>
        <w:t xml:space="preserve">o </w:t>
      </w:r>
      <w:r w:rsidRPr="00F75658">
        <w:rPr>
          <w:rFonts w:ascii="Arial" w:hAnsi="Arial" w:cs="Arial"/>
          <w:i/>
          <w:iCs/>
          <w:color w:val="000000" w:themeColor="text1"/>
          <w:spacing w:val="-4"/>
          <w:kern w:val="1"/>
          <w:sz w:val="22"/>
          <w:szCs w:val="22"/>
        </w:rPr>
        <w:t>ca</w:t>
      </w:r>
      <w:r w:rsidRPr="00F75658">
        <w:rPr>
          <w:rFonts w:ascii="Arial" w:hAnsi="Arial" w:cs="Arial"/>
          <w:i/>
          <w:iCs/>
          <w:color w:val="000000" w:themeColor="text1"/>
          <w:spacing w:val="-7"/>
          <w:kern w:val="1"/>
          <w:sz w:val="22"/>
          <w:szCs w:val="22"/>
        </w:rPr>
        <w:t>t</w:t>
      </w:r>
      <w:r w:rsidRPr="00F75658">
        <w:rPr>
          <w:rFonts w:ascii="Arial" w:hAnsi="Arial" w:cs="Arial"/>
          <w:i/>
          <w:iCs/>
          <w:color w:val="000000" w:themeColor="text1"/>
          <w:spacing w:val="-5"/>
          <w:kern w:val="1"/>
          <w:sz w:val="22"/>
          <w:szCs w:val="22"/>
        </w:rPr>
        <w:t>c</w:t>
      </w:r>
      <w:r w:rsidRPr="00F75658">
        <w:rPr>
          <w:rFonts w:ascii="Arial" w:hAnsi="Arial" w:cs="Arial"/>
          <w:i/>
          <w:iCs/>
          <w:color w:val="000000" w:themeColor="text1"/>
          <w:kern w:val="1"/>
          <w:sz w:val="22"/>
          <w:szCs w:val="22"/>
        </w:rPr>
        <w:t xml:space="preserve">h </w:t>
      </w:r>
      <w:r w:rsidRPr="00F75658">
        <w:rPr>
          <w:rFonts w:ascii="Arial" w:hAnsi="Arial" w:cs="Arial"/>
          <w:i/>
          <w:iCs/>
          <w:color w:val="000000" w:themeColor="text1"/>
          <w:spacing w:val="-5"/>
          <w:kern w:val="1"/>
          <w:sz w:val="22"/>
          <w:szCs w:val="22"/>
        </w:rPr>
        <w:t>u</w:t>
      </w:r>
      <w:r w:rsidRPr="00F75658">
        <w:rPr>
          <w:rFonts w:ascii="Arial" w:hAnsi="Arial" w:cs="Arial"/>
          <w:i/>
          <w:iCs/>
          <w:color w:val="000000" w:themeColor="text1"/>
          <w:kern w:val="1"/>
          <w:sz w:val="22"/>
          <w:szCs w:val="22"/>
        </w:rPr>
        <w:t xml:space="preserve">p </w:t>
      </w:r>
      <w:r w:rsidRPr="00F75658">
        <w:rPr>
          <w:rFonts w:ascii="Arial" w:hAnsi="Arial" w:cs="Arial"/>
          <w:i/>
          <w:iCs/>
          <w:color w:val="000000" w:themeColor="text1"/>
          <w:spacing w:val="-7"/>
          <w:kern w:val="1"/>
          <w:sz w:val="22"/>
          <w:szCs w:val="22"/>
        </w:rPr>
        <w:t>t</w:t>
      </w:r>
      <w:r w:rsidRPr="00F75658">
        <w:rPr>
          <w:rFonts w:ascii="Arial" w:hAnsi="Arial" w:cs="Arial"/>
          <w:i/>
          <w:iCs/>
          <w:color w:val="000000" w:themeColor="text1"/>
          <w:kern w:val="1"/>
          <w:sz w:val="22"/>
          <w:szCs w:val="22"/>
        </w:rPr>
        <w:t xml:space="preserve">o </w:t>
      </w:r>
      <w:r w:rsidRPr="00F75658">
        <w:rPr>
          <w:rFonts w:ascii="Arial" w:hAnsi="Arial" w:cs="Arial"/>
          <w:i/>
          <w:iCs/>
          <w:color w:val="000000" w:themeColor="text1"/>
          <w:spacing w:val="-8"/>
          <w:kern w:val="1"/>
          <w:sz w:val="22"/>
          <w:szCs w:val="22"/>
        </w:rPr>
        <w:t>t</w:t>
      </w:r>
      <w:r w:rsidRPr="00F75658">
        <w:rPr>
          <w:rFonts w:ascii="Arial" w:hAnsi="Arial" w:cs="Arial"/>
          <w:i/>
          <w:iCs/>
          <w:color w:val="000000" w:themeColor="text1"/>
          <w:spacing w:val="-4"/>
          <w:kern w:val="1"/>
          <w:sz w:val="22"/>
          <w:szCs w:val="22"/>
        </w:rPr>
        <w:t>h</w:t>
      </w:r>
      <w:r w:rsidRPr="00F75658">
        <w:rPr>
          <w:rFonts w:ascii="Arial" w:hAnsi="Arial" w:cs="Arial"/>
          <w:i/>
          <w:iCs/>
          <w:color w:val="000000" w:themeColor="text1"/>
          <w:kern w:val="1"/>
          <w:sz w:val="22"/>
          <w:szCs w:val="22"/>
        </w:rPr>
        <w:t xml:space="preserve">e </w:t>
      </w:r>
      <w:r w:rsidRPr="00F75658">
        <w:rPr>
          <w:rFonts w:ascii="Arial" w:hAnsi="Arial" w:cs="Arial"/>
          <w:i/>
          <w:iCs/>
          <w:color w:val="000000" w:themeColor="text1"/>
          <w:spacing w:val="-6"/>
          <w:kern w:val="1"/>
          <w:sz w:val="22"/>
          <w:szCs w:val="22"/>
        </w:rPr>
        <w:t>c</w:t>
      </w:r>
      <w:r w:rsidRPr="00F75658">
        <w:rPr>
          <w:rFonts w:ascii="Arial" w:hAnsi="Arial" w:cs="Arial"/>
          <w:i/>
          <w:iCs/>
          <w:color w:val="000000" w:themeColor="text1"/>
          <w:spacing w:val="-8"/>
          <w:kern w:val="1"/>
          <w:sz w:val="22"/>
          <w:szCs w:val="22"/>
        </w:rPr>
        <w:t>l</w:t>
      </w:r>
      <w:r w:rsidRPr="00F75658">
        <w:rPr>
          <w:rFonts w:ascii="Arial" w:hAnsi="Arial" w:cs="Arial"/>
          <w:i/>
          <w:iCs/>
          <w:color w:val="000000" w:themeColor="text1"/>
          <w:spacing w:val="-6"/>
          <w:kern w:val="1"/>
          <w:sz w:val="22"/>
          <w:szCs w:val="22"/>
        </w:rPr>
        <w:t>in</w:t>
      </w:r>
      <w:r w:rsidRPr="00F75658">
        <w:rPr>
          <w:rFonts w:ascii="Arial" w:hAnsi="Arial" w:cs="Arial"/>
          <w:i/>
          <w:iCs/>
          <w:color w:val="000000" w:themeColor="text1"/>
          <w:spacing w:val="-4"/>
          <w:kern w:val="1"/>
          <w:sz w:val="22"/>
          <w:szCs w:val="22"/>
        </w:rPr>
        <w:t>ica</w:t>
      </w:r>
      <w:r w:rsidRPr="00F75658">
        <w:rPr>
          <w:rFonts w:ascii="Arial" w:hAnsi="Arial" w:cs="Arial"/>
          <w:i/>
          <w:iCs/>
          <w:color w:val="000000" w:themeColor="text1"/>
          <w:kern w:val="1"/>
          <w:sz w:val="22"/>
          <w:szCs w:val="22"/>
        </w:rPr>
        <w:t xml:space="preserve">l </w:t>
      </w:r>
      <w:r w:rsidRPr="00F75658">
        <w:rPr>
          <w:rFonts w:ascii="Arial" w:hAnsi="Arial" w:cs="Arial"/>
          <w:i/>
          <w:iCs/>
          <w:color w:val="000000" w:themeColor="text1"/>
          <w:spacing w:val="-4"/>
          <w:kern w:val="1"/>
          <w:sz w:val="22"/>
          <w:szCs w:val="22"/>
        </w:rPr>
        <w:t>c</w:t>
      </w:r>
      <w:r w:rsidRPr="00F75658">
        <w:rPr>
          <w:rFonts w:ascii="Arial" w:hAnsi="Arial" w:cs="Arial"/>
          <w:i/>
          <w:iCs/>
          <w:color w:val="000000" w:themeColor="text1"/>
          <w:spacing w:val="-1"/>
          <w:kern w:val="1"/>
          <w:sz w:val="22"/>
          <w:szCs w:val="22"/>
        </w:rPr>
        <w:t>as</w:t>
      </w:r>
      <w:r w:rsidRPr="00F75658">
        <w:rPr>
          <w:rFonts w:ascii="Arial" w:hAnsi="Arial" w:cs="Arial"/>
          <w:i/>
          <w:iCs/>
          <w:color w:val="000000" w:themeColor="text1"/>
          <w:spacing w:val="-5"/>
          <w:kern w:val="1"/>
          <w:sz w:val="22"/>
          <w:szCs w:val="22"/>
        </w:rPr>
        <w:t>e</w:t>
      </w:r>
      <w:r w:rsidRPr="00F75658">
        <w:rPr>
          <w:rFonts w:ascii="Arial" w:hAnsi="Arial" w:cs="Arial"/>
          <w:i/>
          <w:iCs/>
          <w:color w:val="000000" w:themeColor="text1"/>
          <w:kern w:val="1"/>
          <w:sz w:val="22"/>
          <w:szCs w:val="22"/>
        </w:rPr>
        <w:t xml:space="preserve">. </w:t>
      </w:r>
      <w:r w:rsidRPr="00F75658">
        <w:rPr>
          <w:rFonts w:ascii="Arial" w:hAnsi="Arial" w:cs="Arial"/>
          <w:i/>
          <w:iCs/>
          <w:color w:val="000000" w:themeColor="text1"/>
          <w:spacing w:val="-12"/>
          <w:kern w:val="1"/>
          <w:sz w:val="22"/>
          <w:szCs w:val="22"/>
        </w:rPr>
        <w:t>T</w:t>
      </w:r>
      <w:r w:rsidRPr="00F75658">
        <w:rPr>
          <w:rFonts w:ascii="Arial" w:hAnsi="Arial" w:cs="Arial"/>
          <w:i/>
          <w:iCs/>
          <w:color w:val="000000" w:themeColor="text1"/>
          <w:spacing w:val="-4"/>
          <w:kern w:val="1"/>
          <w:sz w:val="22"/>
          <w:szCs w:val="22"/>
        </w:rPr>
        <w:t>h</w:t>
      </w:r>
      <w:r w:rsidRPr="00F75658">
        <w:rPr>
          <w:rFonts w:ascii="Arial" w:hAnsi="Arial" w:cs="Arial"/>
          <w:i/>
          <w:iCs/>
          <w:color w:val="000000" w:themeColor="text1"/>
          <w:kern w:val="1"/>
          <w:sz w:val="22"/>
          <w:szCs w:val="22"/>
        </w:rPr>
        <w:t xml:space="preserve">e </w:t>
      </w:r>
      <w:r w:rsidRPr="00F75658">
        <w:rPr>
          <w:rFonts w:ascii="Arial" w:hAnsi="Arial" w:cs="Arial"/>
          <w:i/>
          <w:iCs/>
          <w:color w:val="000000" w:themeColor="text1"/>
          <w:spacing w:val="-5"/>
          <w:kern w:val="1"/>
          <w:sz w:val="22"/>
          <w:szCs w:val="22"/>
        </w:rPr>
        <w:t>k</w:t>
      </w:r>
      <w:r w:rsidRPr="00F75658">
        <w:rPr>
          <w:rFonts w:ascii="Arial" w:hAnsi="Arial" w:cs="Arial"/>
          <w:i/>
          <w:iCs/>
          <w:color w:val="000000" w:themeColor="text1"/>
          <w:spacing w:val="-3"/>
          <w:kern w:val="1"/>
          <w:sz w:val="22"/>
          <w:szCs w:val="22"/>
        </w:rPr>
        <w:t>e</w:t>
      </w:r>
      <w:r w:rsidRPr="00F75658">
        <w:rPr>
          <w:rFonts w:ascii="Arial" w:hAnsi="Arial" w:cs="Arial"/>
          <w:i/>
          <w:iCs/>
          <w:color w:val="000000" w:themeColor="text1"/>
          <w:kern w:val="1"/>
          <w:sz w:val="22"/>
          <w:szCs w:val="22"/>
        </w:rPr>
        <w:t xml:space="preserve">y </w:t>
      </w:r>
      <w:r w:rsidRPr="00F75658">
        <w:rPr>
          <w:rFonts w:ascii="Arial" w:hAnsi="Arial" w:cs="Arial"/>
          <w:i/>
          <w:iCs/>
          <w:color w:val="000000" w:themeColor="text1"/>
          <w:spacing w:val="-6"/>
          <w:kern w:val="1"/>
          <w:sz w:val="22"/>
          <w:szCs w:val="22"/>
        </w:rPr>
        <w:t>i</w:t>
      </w:r>
      <w:r w:rsidRPr="00F75658">
        <w:rPr>
          <w:rFonts w:ascii="Arial" w:hAnsi="Arial" w:cs="Arial"/>
          <w:i/>
          <w:iCs/>
          <w:color w:val="000000" w:themeColor="text1"/>
          <w:kern w:val="1"/>
          <w:sz w:val="22"/>
          <w:szCs w:val="22"/>
        </w:rPr>
        <w:t xml:space="preserve">n </w:t>
      </w:r>
      <w:r w:rsidRPr="00F75658">
        <w:rPr>
          <w:rFonts w:ascii="Arial" w:hAnsi="Arial" w:cs="Arial"/>
          <w:i/>
          <w:iCs/>
          <w:color w:val="000000" w:themeColor="text1"/>
          <w:spacing w:val="-4"/>
          <w:kern w:val="1"/>
          <w:sz w:val="22"/>
          <w:szCs w:val="22"/>
        </w:rPr>
        <w:t>m</w:t>
      </w:r>
      <w:r w:rsidRPr="00F75658">
        <w:rPr>
          <w:rFonts w:ascii="Arial" w:hAnsi="Arial" w:cs="Arial"/>
          <w:i/>
          <w:iCs/>
          <w:color w:val="000000" w:themeColor="text1"/>
          <w:spacing w:val="-2"/>
          <w:kern w:val="1"/>
          <w:sz w:val="22"/>
          <w:szCs w:val="22"/>
        </w:rPr>
        <w:t>a</w:t>
      </w:r>
      <w:r w:rsidRPr="00F75658">
        <w:rPr>
          <w:rFonts w:ascii="Arial" w:hAnsi="Arial" w:cs="Arial"/>
          <w:i/>
          <w:iCs/>
          <w:color w:val="000000" w:themeColor="text1"/>
          <w:spacing w:val="-8"/>
          <w:kern w:val="1"/>
          <w:sz w:val="22"/>
          <w:szCs w:val="22"/>
        </w:rPr>
        <w:t>k</w:t>
      </w:r>
      <w:r w:rsidRPr="00F75658">
        <w:rPr>
          <w:rFonts w:ascii="Arial" w:hAnsi="Arial" w:cs="Arial"/>
          <w:i/>
          <w:iCs/>
          <w:color w:val="000000" w:themeColor="text1"/>
          <w:spacing w:val="-6"/>
          <w:kern w:val="1"/>
          <w:sz w:val="22"/>
          <w:szCs w:val="22"/>
        </w:rPr>
        <w:t>i</w:t>
      </w:r>
      <w:r w:rsidRPr="00F75658">
        <w:rPr>
          <w:rFonts w:ascii="Arial" w:hAnsi="Arial" w:cs="Arial"/>
          <w:i/>
          <w:iCs/>
          <w:color w:val="000000" w:themeColor="text1"/>
          <w:spacing w:val="-2"/>
          <w:kern w:val="1"/>
          <w:sz w:val="22"/>
          <w:szCs w:val="22"/>
        </w:rPr>
        <w:t>n</w:t>
      </w:r>
      <w:r w:rsidRPr="00F75658">
        <w:rPr>
          <w:rFonts w:ascii="Arial" w:hAnsi="Arial" w:cs="Arial"/>
          <w:i/>
          <w:iCs/>
          <w:color w:val="000000" w:themeColor="text1"/>
          <w:kern w:val="1"/>
          <w:sz w:val="22"/>
          <w:szCs w:val="22"/>
        </w:rPr>
        <w:t xml:space="preserve">g </w:t>
      </w:r>
      <w:r w:rsidRPr="00F75658">
        <w:rPr>
          <w:rFonts w:ascii="Arial" w:hAnsi="Arial" w:cs="Arial"/>
          <w:i/>
          <w:iCs/>
          <w:color w:val="000000" w:themeColor="text1"/>
          <w:spacing w:val="-10"/>
          <w:kern w:val="1"/>
          <w:sz w:val="22"/>
          <w:szCs w:val="22"/>
        </w:rPr>
        <w:t>f</w:t>
      </w:r>
      <w:r w:rsidRPr="00F75658">
        <w:rPr>
          <w:rFonts w:ascii="Arial" w:hAnsi="Arial" w:cs="Arial"/>
          <w:i/>
          <w:iCs/>
          <w:color w:val="000000" w:themeColor="text1"/>
          <w:spacing w:val="-3"/>
          <w:kern w:val="1"/>
          <w:sz w:val="22"/>
          <w:szCs w:val="22"/>
        </w:rPr>
        <w:t>ur</w:t>
      </w:r>
      <w:r w:rsidRPr="00F75658">
        <w:rPr>
          <w:rFonts w:ascii="Arial" w:hAnsi="Arial" w:cs="Arial"/>
          <w:i/>
          <w:iCs/>
          <w:color w:val="000000" w:themeColor="text1"/>
          <w:spacing w:val="-8"/>
          <w:kern w:val="1"/>
          <w:sz w:val="22"/>
          <w:szCs w:val="22"/>
        </w:rPr>
        <w:t>t</w:t>
      </w:r>
      <w:r w:rsidRPr="00F75658">
        <w:rPr>
          <w:rFonts w:ascii="Arial" w:hAnsi="Arial" w:cs="Arial"/>
          <w:i/>
          <w:iCs/>
          <w:color w:val="000000" w:themeColor="text1"/>
          <w:spacing w:val="-4"/>
          <w:kern w:val="1"/>
          <w:sz w:val="22"/>
          <w:szCs w:val="22"/>
        </w:rPr>
        <w:t>h</w:t>
      </w:r>
      <w:r w:rsidRPr="00F75658">
        <w:rPr>
          <w:rFonts w:ascii="Arial" w:hAnsi="Arial" w:cs="Arial"/>
          <w:i/>
          <w:iCs/>
          <w:color w:val="000000" w:themeColor="text1"/>
          <w:kern w:val="1"/>
          <w:sz w:val="22"/>
          <w:szCs w:val="22"/>
        </w:rPr>
        <w:t xml:space="preserve">er </w:t>
      </w:r>
      <w:r w:rsidRPr="00F75658">
        <w:rPr>
          <w:rFonts w:ascii="Arial" w:hAnsi="Arial" w:cs="Arial"/>
          <w:i/>
          <w:iCs/>
          <w:color w:val="000000" w:themeColor="text1"/>
          <w:spacing w:val="-1"/>
          <w:kern w:val="1"/>
          <w:sz w:val="22"/>
          <w:szCs w:val="22"/>
        </w:rPr>
        <w:t>p</w:t>
      </w:r>
      <w:r w:rsidRPr="00F75658">
        <w:rPr>
          <w:rFonts w:ascii="Arial" w:hAnsi="Arial" w:cs="Arial"/>
          <w:i/>
          <w:iCs/>
          <w:color w:val="000000" w:themeColor="text1"/>
          <w:spacing w:val="-9"/>
          <w:kern w:val="1"/>
          <w:sz w:val="22"/>
          <w:szCs w:val="22"/>
        </w:rPr>
        <w:t>r</w:t>
      </w:r>
      <w:r w:rsidRPr="00F75658">
        <w:rPr>
          <w:rFonts w:ascii="Arial" w:hAnsi="Arial" w:cs="Arial"/>
          <w:i/>
          <w:iCs/>
          <w:color w:val="000000" w:themeColor="text1"/>
          <w:spacing w:val="1"/>
          <w:kern w:val="1"/>
          <w:sz w:val="22"/>
          <w:szCs w:val="22"/>
        </w:rPr>
        <w:t>o</w:t>
      </w:r>
      <w:r w:rsidRPr="00F75658">
        <w:rPr>
          <w:rFonts w:ascii="Arial" w:hAnsi="Arial" w:cs="Arial"/>
          <w:i/>
          <w:iCs/>
          <w:color w:val="000000" w:themeColor="text1"/>
          <w:spacing w:val="-2"/>
          <w:kern w:val="1"/>
          <w:sz w:val="22"/>
          <w:szCs w:val="22"/>
        </w:rPr>
        <w:t>g</w:t>
      </w:r>
      <w:r w:rsidRPr="00F75658">
        <w:rPr>
          <w:rFonts w:ascii="Arial" w:hAnsi="Arial" w:cs="Arial"/>
          <w:i/>
          <w:iCs/>
          <w:color w:val="000000" w:themeColor="text1"/>
          <w:spacing w:val="-9"/>
          <w:kern w:val="1"/>
          <w:sz w:val="22"/>
          <w:szCs w:val="22"/>
        </w:rPr>
        <w:t>r</w:t>
      </w:r>
      <w:r w:rsidRPr="00F75658">
        <w:rPr>
          <w:rFonts w:ascii="Arial" w:hAnsi="Arial" w:cs="Arial"/>
          <w:i/>
          <w:iCs/>
          <w:color w:val="000000" w:themeColor="text1"/>
          <w:kern w:val="1"/>
          <w:sz w:val="22"/>
          <w:szCs w:val="22"/>
        </w:rPr>
        <w:t>e</w:t>
      </w:r>
      <w:r w:rsidRPr="00F75658">
        <w:rPr>
          <w:rFonts w:ascii="Arial" w:hAnsi="Arial" w:cs="Arial"/>
          <w:i/>
          <w:iCs/>
          <w:color w:val="000000" w:themeColor="text1"/>
          <w:spacing w:val="-1"/>
          <w:kern w:val="1"/>
          <w:sz w:val="22"/>
          <w:szCs w:val="22"/>
        </w:rPr>
        <w:t>s</w:t>
      </w:r>
      <w:r w:rsidRPr="00F75658">
        <w:rPr>
          <w:rFonts w:ascii="Arial" w:hAnsi="Arial" w:cs="Arial"/>
          <w:i/>
          <w:iCs/>
          <w:color w:val="000000" w:themeColor="text1"/>
          <w:kern w:val="1"/>
          <w:sz w:val="22"/>
          <w:szCs w:val="22"/>
        </w:rPr>
        <w:t xml:space="preserve">s </w:t>
      </w:r>
      <w:r w:rsidRPr="00F75658">
        <w:rPr>
          <w:rFonts w:ascii="Arial" w:hAnsi="Arial" w:cs="Arial"/>
          <w:i/>
          <w:iCs/>
          <w:color w:val="000000" w:themeColor="text1"/>
          <w:spacing w:val="-4"/>
          <w:kern w:val="1"/>
          <w:sz w:val="22"/>
          <w:szCs w:val="22"/>
        </w:rPr>
        <w:t>i</w:t>
      </w:r>
      <w:r w:rsidRPr="00F75658">
        <w:rPr>
          <w:rFonts w:ascii="Arial" w:hAnsi="Arial" w:cs="Arial"/>
          <w:i/>
          <w:iCs/>
          <w:color w:val="000000" w:themeColor="text1"/>
          <w:kern w:val="1"/>
          <w:sz w:val="22"/>
          <w:szCs w:val="22"/>
        </w:rPr>
        <w:t xml:space="preserve">s </w:t>
      </w:r>
      <w:r w:rsidRPr="00F75658">
        <w:rPr>
          <w:rFonts w:ascii="Arial" w:hAnsi="Arial" w:cs="Arial"/>
          <w:i/>
          <w:iCs/>
          <w:color w:val="000000" w:themeColor="text1"/>
          <w:spacing w:val="-7"/>
          <w:kern w:val="1"/>
          <w:sz w:val="22"/>
          <w:szCs w:val="22"/>
        </w:rPr>
        <w:t>t</w:t>
      </w:r>
      <w:r w:rsidRPr="00F75658">
        <w:rPr>
          <w:rFonts w:ascii="Arial" w:hAnsi="Arial" w:cs="Arial"/>
          <w:i/>
          <w:iCs/>
          <w:color w:val="000000" w:themeColor="text1"/>
          <w:kern w:val="1"/>
          <w:sz w:val="22"/>
          <w:szCs w:val="22"/>
        </w:rPr>
        <w:t xml:space="preserve">o </w:t>
      </w:r>
      <w:r w:rsidRPr="00F75658">
        <w:rPr>
          <w:rFonts w:ascii="Arial" w:hAnsi="Arial" w:cs="Arial"/>
          <w:i/>
          <w:iCs/>
          <w:color w:val="000000" w:themeColor="text1"/>
          <w:spacing w:val="-3"/>
          <w:kern w:val="1"/>
          <w:sz w:val="22"/>
          <w:szCs w:val="22"/>
        </w:rPr>
        <w:t>c</w:t>
      </w:r>
      <w:r w:rsidRPr="00F75658">
        <w:rPr>
          <w:rFonts w:ascii="Arial" w:hAnsi="Arial" w:cs="Arial"/>
          <w:i/>
          <w:iCs/>
          <w:color w:val="000000" w:themeColor="text1"/>
          <w:spacing w:val="-2"/>
          <w:kern w:val="1"/>
          <w:sz w:val="22"/>
          <w:szCs w:val="22"/>
        </w:rPr>
        <w:t>o</w:t>
      </w:r>
      <w:r w:rsidRPr="00F75658">
        <w:rPr>
          <w:rFonts w:ascii="Arial" w:hAnsi="Arial" w:cs="Arial"/>
          <w:i/>
          <w:iCs/>
          <w:color w:val="000000" w:themeColor="text1"/>
          <w:spacing w:val="-6"/>
          <w:kern w:val="1"/>
          <w:sz w:val="22"/>
          <w:szCs w:val="22"/>
        </w:rPr>
        <w:t>n</w:t>
      </w:r>
      <w:r w:rsidRPr="00F75658">
        <w:rPr>
          <w:rFonts w:ascii="Arial" w:hAnsi="Arial" w:cs="Arial"/>
          <w:i/>
          <w:iCs/>
          <w:color w:val="000000" w:themeColor="text1"/>
          <w:spacing w:val="-10"/>
          <w:kern w:val="1"/>
          <w:sz w:val="22"/>
          <w:szCs w:val="22"/>
        </w:rPr>
        <w:t>t</w:t>
      </w:r>
      <w:r w:rsidRPr="00F75658">
        <w:rPr>
          <w:rFonts w:ascii="Arial" w:hAnsi="Arial" w:cs="Arial"/>
          <w:i/>
          <w:iCs/>
          <w:color w:val="000000" w:themeColor="text1"/>
          <w:spacing w:val="-6"/>
          <w:kern w:val="1"/>
          <w:sz w:val="22"/>
          <w:szCs w:val="22"/>
        </w:rPr>
        <w:t>in</w:t>
      </w:r>
      <w:r w:rsidRPr="00F75658">
        <w:rPr>
          <w:rFonts w:ascii="Arial" w:hAnsi="Arial" w:cs="Arial"/>
          <w:i/>
          <w:iCs/>
          <w:color w:val="000000" w:themeColor="text1"/>
          <w:spacing w:val="-3"/>
          <w:kern w:val="1"/>
          <w:sz w:val="22"/>
          <w:szCs w:val="22"/>
        </w:rPr>
        <w:t>u</w:t>
      </w:r>
      <w:r w:rsidRPr="00F75658">
        <w:rPr>
          <w:rFonts w:ascii="Arial" w:hAnsi="Arial" w:cs="Arial"/>
          <w:i/>
          <w:iCs/>
          <w:color w:val="000000" w:themeColor="text1"/>
          <w:kern w:val="1"/>
          <w:sz w:val="22"/>
          <w:szCs w:val="22"/>
        </w:rPr>
        <w:t xml:space="preserve">e </w:t>
      </w:r>
      <w:r w:rsidRPr="00F75658">
        <w:rPr>
          <w:rFonts w:ascii="Arial" w:hAnsi="Arial" w:cs="Arial"/>
          <w:i/>
          <w:iCs/>
          <w:color w:val="000000" w:themeColor="text1"/>
          <w:spacing w:val="-7"/>
          <w:kern w:val="1"/>
          <w:sz w:val="22"/>
          <w:szCs w:val="22"/>
        </w:rPr>
        <w:t>t</w:t>
      </w:r>
      <w:r w:rsidRPr="00F75658">
        <w:rPr>
          <w:rFonts w:ascii="Arial" w:hAnsi="Arial" w:cs="Arial"/>
          <w:i/>
          <w:iCs/>
          <w:color w:val="000000" w:themeColor="text1"/>
          <w:kern w:val="1"/>
          <w:sz w:val="22"/>
          <w:szCs w:val="22"/>
        </w:rPr>
        <w:t xml:space="preserve">o </w:t>
      </w:r>
      <w:r w:rsidRPr="00F75658">
        <w:rPr>
          <w:rFonts w:ascii="Arial" w:hAnsi="Arial" w:cs="Arial"/>
          <w:i/>
          <w:iCs/>
          <w:color w:val="000000" w:themeColor="text1"/>
          <w:spacing w:val="-6"/>
          <w:kern w:val="1"/>
          <w:sz w:val="22"/>
          <w:szCs w:val="22"/>
        </w:rPr>
        <w:t>wi</w:t>
      </w:r>
      <w:r w:rsidRPr="00F75658">
        <w:rPr>
          <w:rFonts w:ascii="Arial" w:hAnsi="Arial" w:cs="Arial"/>
          <w:i/>
          <w:iCs/>
          <w:color w:val="000000" w:themeColor="text1"/>
          <w:spacing w:val="-1"/>
          <w:kern w:val="1"/>
          <w:sz w:val="22"/>
          <w:szCs w:val="22"/>
        </w:rPr>
        <w:t>p</w:t>
      </w:r>
      <w:r w:rsidRPr="00F75658">
        <w:rPr>
          <w:rFonts w:ascii="Arial" w:hAnsi="Arial" w:cs="Arial"/>
          <w:i/>
          <w:iCs/>
          <w:color w:val="000000" w:themeColor="text1"/>
          <w:kern w:val="1"/>
          <w:sz w:val="22"/>
          <w:szCs w:val="22"/>
        </w:rPr>
        <w:t xml:space="preserve">e </w:t>
      </w:r>
      <w:r w:rsidRPr="00F75658">
        <w:rPr>
          <w:rFonts w:ascii="Arial" w:hAnsi="Arial" w:cs="Arial"/>
          <w:i/>
          <w:iCs/>
          <w:color w:val="000000" w:themeColor="text1"/>
          <w:spacing w:val="-3"/>
          <w:kern w:val="1"/>
          <w:sz w:val="22"/>
          <w:szCs w:val="22"/>
        </w:rPr>
        <w:t>aw</w:t>
      </w:r>
      <w:r w:rsidRPr="00F75658">
        <w:rPr>
          <w:rFonts w:ascii="Arial" w:hAnsi="Arial" w:cs="Arial"/>
          <w:i/>
          <w:iCs/>
          <w:color w:val="000000" w:themeColor="text1"/>
          <w:spacing w:val="-5"/>
          <w:kern w:val="1"/>
          <w:sz w:val="22"/>
          <w:szCs w:val="22"/>
        </w:rPr>
        <w:t>a</w:t>
      </w:r>
      <w:r w:rsidRPr="00F75658">
        <w:rPr>
          <w:rFonts w:ascii="Arial" w:hAnsi="Arial" w:cs="Arial"/>
          <w:i/>
          <w:iCs/>
          <w:color w:val="000000" w:themeColor="text1"/>
          <w:kern w:val="1"/>
          <w:sz w:val="22"/>
          <w:szCs w:val="22"/>
        </w:rPr>
        <w:t xml:space="preserve">y </w:t>
      </w:r>
      <w:r w:rsidRPr="00F75658">
        <w:rPr>
          <w:rFonts w:ascii="Arial" w:hAnsi="Arial" w:cs="Arial"/>
          <w:i/>
          <w:iCs/>
          <w:color w:val="000000" w:themeColor="text1"/>
          <w:spacing w:val="-4"/>
          <w:kern w:val="1"/>
          <w:sz w:val="22"/>
          <w:szCs w:val="22"/>
        </w:rPr>
        <w:t>o</w:t>
      </w:r>
      <w:r w:rsidRPr="00F75658">
        <w:rPr>
          <w:rFonts w:ascii="Arial" w:hAnsi="Arial" w:cs="Arial"/>
          <w:i/>
          <w:iCs/>
          <w:color w:val="000000" w:themeColor="text1"/>
          <w:spacing w:val="-5"/>
          <w:kern w:val="1"/>
          <w:sz w:val="22"/>
          <w:szCs w:val="22"/>
        </w:rPr>
        <w:t>l</w:t>
      </w:r>
      <w:r w:rsidRPr="00F75658">
        <w:rPr>
          <w:rFonts w:ascii="Arial" w:hAnsi="Arial" w:cs="Arial"/>
          <w:i/>
          <w:iCs/>
          <w:color w:val="000000" w:themeColor="text1"/>
          <w:kern w:val="1"/>
          <w:sz w:val="22"/>
          <w:szCs w:val="22"/>
        </w:rPr>
        <w:t xml:space="preserve">d </w:t>
      </w:r>
      <w:r w:rsidRPr="00F75658">
        <w:rPr>
          <w:rFonts w:ascii="Arial" w:hAnsi="Arial" w:cs="Arial"/>
          <w:i/>
          <w:iCs/>
          <w:color w:val="000000" w:themeColor="text1"/>
          <w:spacing w:val="-1"/>
          <w:kern w:val="1"/>
          <w:sz w:val="22"/>
          <w:szCs w:val="22"/>
        </w:rPr>
        <w:t>as</w:t>
      </w:r>
      <w:r w:rsidRPr="00F75658">
        <w:rPr>
          <w:rFonts w:ascii="Arial" w:hAnsi="Arial" w:cs="Arial"/>
          <w:i/>
          <w:iCs/>
          <w:color w:val="000000" w:themeColor="text1"/>
          <w:spacing w:val="-4"/>
          <w:kern w:val="1"/>
          <w:sz w:val="22"/>
          <w:szCs w:val="22"/>
        </w:rPr>
        <w:t>su</w:t>
      </w:r>
      <w:r w:rsidRPr="00F75658">
        <w:rPr>
          <w:rFonts w:ascii="Arial" w:hAnsi="Arial" w:cs="Arial"/>
          <w:i/>
          <w:iCs/>
          <w:color w:val="000000" w:themeColor="text1"/>
          <w:spacing w:val="-5"/>
          <w:kern w:val="1"/>
          <w:sz w:val="22"/>
          <w:szCs w:val="22"/>
        </w:rPr>
        <w:t>m</w:t>
      </w:r>
      <w:r w:rsidRPr="00F75658">
        <w:rPr>
          <w:rFonts w:ascii="Arial" w:hAnsi="Arial" w:cs="Arial"/>
          <w:i/>
          <w:iCs/>
          <w:color w:val="000000" w:themeColor="text1"/>
          <w:spacing w:val="-4"/>
          <w:kern w:val="1"/>
          <w:sz w:val="22"/>
          <w:szCs w:val="22"/>
        </w:rPr>
        <w:t>p</w:t>
      </w:r>
      <w:r w:rsidRPr="00F75658">
        <w:rPr>
          <w:rFonts w:ascii="Arial" w:hAnsi="Arial" w:cs="Arial"/>
          <w:i/>
          <w:iCs/>
          <w:color w:val="000000" w:themeColor="text1"/>
          <w:spacing w:val="-10"/>
          <w:kern w:val="1"/>
          <w:sz w:val="22"/>
          <w:szCs w:val="22"/>
        </w:rPr>
        <w:t>t</w:t>
      </w:r>
      <w:r w:rsidRPr="00F75658">
        <w:rPr>
          <w:rFonts w:ascii="Arial" w:hAnsi="Arial" w:cs="Arial"/>
          <w:i/>
          <w:iCs/>
          <w:color w:val="000000" w:themeColor="text1"/>
          <w:spacing w:val="-4"/>
          <w:kern w:val="1"/>
          <w:sz w:val="22"/>
          <w:szCs w:val="22"/>
        </w:rPr>
        <w:t>i</w:t>
      </w:r>
      <w:r w:rsidRPr="00F75658">
        <w:rPr>
          <w:rFonts w:ascii="Arial" w:hAnsi="Arial" w:cs="Arial"/>
          <w:i/>
          <w:iCs/>
          <w:color w:val="000000" w:themeColor="text1"/>
          <w:spacing w:val="-2"/>
          <w:kern w:val="1"/>
          <w:sz w:val="22"/>
          <w:szCs w:val="22"/>
        </w:rPr>
        <w:t>o</w:t>
      </w:r>
      <w:r w:rsidRPr="00F75658">
        <w:rPr>
          <w:rFonts w:ascii="Arial" w:hAnsi="Arial" w:cs="Arial"/>
          <w:i/>
          <w:iCs/>
          <w:color w:val="000000" w:themeColor="text1"/>
          <w:spacing w:val="-3"/>
          <w:kern w:val="1"/>
          <w:sz w:val="22"/>
          <w:szCs w:val="22"/>
        </w:rPr>
        <w:t>n</w:t>
      </w:r>
      <w:r w:rsidRPr="00F75658">
        <w:rPr>
          <w:rFonts w:ascii="Arial" w:hAnsi="Arial" w:cs="Arial"/>
          <w:i/>
          <w:iCs/>
          <w:color w:val="000000" w:themeColor="text1"/>
          <w:kern w:val="1"/>
          <w:sz w:val="22"/>
          <w:szCs w:val="22"/>
        </w:rPr>
        <w:t xml:space="preserve">s </w:t>
      </w:r>
      <w:r w:rsidRPr="00F75658">
        <w:rPr>
          <w:rFonts w:ascii="Arial" w:hAnsi="Arial" w:cs="Arial"/>
          <w:i/>
          <w:iCs/>
          <w:color w:val="000000" w:themeColor="text1"/>
          <w:spacing w:val="-3"/>
          <w:kern w:val="1"/>
          <w:sz w:val="22"/>
          <w:szCs w:val="22"/>
        </w:rPr>
        <w:t>a</w:t>
      </w:r>
      <w:r w:rsidRPr="00F75658">
        <w:rPr>
          <w:rFonts w:ascii="Arial" w:hAnsi="Arial" w:cs="Arial"/>
          <w:i/>
          <w:iCs/>
          <w:color w:val="000000" w:themeColor="text1"/>
          <w:kern w:val="1"/>
          <w:sz w:val="22"/>
          <w:szCs w:val="22"/>
        </w:rPr>
        <w:t>b</w:t>
      </w:r>
      <w:r w:rsidRPr="00F75658">
        <w:rPr>
          <w:rFonts w:ascii="Arial" w:hAnsi="Arial" w:cs="Arial"/>
          <w:i/>
          <w:iCs/>
          <w:color w:val="000000" w:themeColor="text1"/>
          <w:spacing w:val="-3"/>
          <w:kern w:val="1"/>
          <w:sz w:val="22"/>
          <w:szCs w:val="22"/>
        </w:rPr>
        <w:t>o</w:t>
      </w:r>
      <w:r w:rsidRPr="00F75658">
        <w:rPr>
          <w:rFonts w:ascii="Arial" w:hAnsi="Arial" w:cs="Arial"/>
          <w:i/>
          <w:iCs/>
          <w:color w:val="000000" w:themeColor="text1"/>
          <w:spacing w:val="-5"/>
          <w:kern w:val="1"/>
          <w:sz w:val="22"/>
          <w:szCs w:val="22"/>
        </w:rPr>
        <w:t>u</w:t>
      </w:r>
      <w:r w:rsidRPr="00F75658">
        <w:rPr>
          <w:rFonts w:ascii="Arial" w:hAnsi="Arial" w:cs="Arial"/>
          <w:i/>
          <w:iCs/>
          <w:color w:val="000000" w:themeColor="text1"/>
          <w:kern w:val="1"/>
          <w:sz w:val="22"/>
          <w:szCs w:val="22"/>
        </w:rPr>
        <w:t xml:space="preserve">t </w:t>
      </w:r>
      <w:r w:rsidRPr="00F75658">
        <w:rPr>
          <w:rFonts w:ascii="Arial" w:hAnsi="Arial" w:cs="Arial"/>
          <w:i/>
          <w:iCs/>
          <w:color w:val="000000" w:themeColor="text1"/>
          <w:spacing w:val="-4"/>
          <w:kern w:val="1"/>
          <w:sz w:val="22"/>
          <w:szCs w:val="22"/>
        </w:rPr>
        <w:t>w</w:t>
      </w:r>
      <w:r w:rsidRPr="00F75658">
        <w:rPr>
          <w:rFonts w:ascii="Arial" w:hAnsi="Arial" w:cs="Arial"/>
          <w:i/>
          <w:iCs/>
          <w:color w:val="000000" w:themeColor="text1"/>
          <w:spacing w:val="-5"/>
          <w:kern w:val="1"/>
          <w:sz w:val="22"/>
          <w:szCs w:val="22"/>
        </w:rPr>
        <w:t>h</w:t>
      </w:r>
      <w:r w:rsidRPr="00F75658">
        <w:rPr>
          <w:rFonts w:ascii="Arial" w:hAnsi="Arial" w:cs="Arial"/>
          <w:i/>
          <w:iCs/>
          <w:color w:val="000000" w:themeColor="text1"/>
          <w:spacing w:val="-4"/>
          <w:kern w:val="1"/>
          <w:sz w:val="22"/>
          <w:szCs w:val="22"/>
        </w:rPr>
        <w:t>a</w:t>
      </w:r>
      <w:r w:rsidRPr="00F75658">
        <w:rPr>
          <w:rFonts w:ascii="Arial" w:hAnsi="Arial" w:cs="Arial"/>
          <w:i/>
          <w:iCs/>
          <w:color w:val="000000" w:themeColor="text1"/>
          <w:kern w:val="1"/>
          <w:sz w:val="22"/>
          <w:szCs w:val="22"/>
        </w:rPr>
        <w:t xml:space="preserve">t </w:t>
      </w:r>
      <w:r w:rsidRPr="00F75658">
        <w:rPr>
          <w:rFonts w:ascii="Arial" w:hAnsi="Arial" w:cs="Arial"/>
          <w:i/>
          <w:iCs/>
          <w:color w:val="000000" w:themeColor="text1"/>
          <w:spacing w:val="-6"/>
          <w:kern w:val="1"/>
          <w:sz w:val="22"/>
          <w:szCs w:val="22"/>
        </w:rPr>
        <w:t>w</w:t>
      </w:r>
      <w:r w:rsidRPr="00F75658">
        <w:rPr>
          <w:rFonts w:ascii="Arial" w:hAnsi="Arial" w:cs="Arial"/>
          <w:i/>
          <w:iCs/>
          <w:color w:val="000000" w:themeColor="text1"/>
          <w:spacing w:val="-8"/>
          <w:kern w:val="1"/>
          <w:sz w:val="22"/>
          <w:szCs w:val="22"/>
        </w:rPr>
        <w:t>il</w:t>
      </w:r>
      <w:r w:rsidRPr="00F75658">
        <w:rPr>
          <w:rFonts w:ascii="Arial" w:hAnsi="Arial" w:cs="Arial"/>
          <w:i/>
          <w:iCs/>
          <w:color w:val="000000" w:themeColor="text1"/>
          <w:kern w:val="1"/>
          <w:sz w:val="22"/>
          <w:szCs w:val="22"/>
        </w:rPr>
        <w:t xml:space="preserve">l </w:t>
      </w:r>
      <w:r w:rsidRPr="00F75658">
        <w:rPr>
          <w:rFonts w:ascii="Arial" w:hAnsi="Arial" w:cs="Arial"/>
          <w:i/>
          <w:iCs/>
          <w:color w:val="000000" w:themeColor="text1"/>
          <w:spacing w:val="-3"/>
          <w:kern w:val="1"/>
          <w:sz w:val="22"/>
          <w:szCs w:val="22"/>
        </w:rPr>
        <w:t>a</w:t>
      </w:r>
      <w:r w:rsidRPr="00F75658">
        <w:rPr>
          <w:rFonts w:ascii="Arial" w:hAnsi="Arial" w:cs="Arial"/>
          <w:i/>
          <w:iCs/>
          <w:color w:val="000000" w:themeColor="text1"/>
          <w:spacing w:val="-4"/>
          <w:kern w:val="1"/>
          <w:sz w:val="22"/>
          <w:szCs w:val="22"/>
        </w:rPr>
        <w:t>n</w:t>
      </w:r>
      <w:r w:rsidRPr="00F75658">
        <w:rPr>
          <w:rFonts w:ascii="Arial" w:hAnsi="Arial" w:cs="Arial"/>
          <w:i/>
          <w:iCs/>
          <w:color w:val="000000" w:themeColor="text1"/>
          <w:kern w:val="1"/>
          <w:sz w:val="22"/>
          <w:szCs w:val="22"/>
        </w:rPr>
        <w:t xml:space="preserve">d </w:t>
      </w:r>
      <w:r w:rsidRPr="00F75658">
        <w:rPr>
          <w:rFonts w:ascii="Arial" w:hAnsi="Arial" w:cs="Arial"/>
          <w:i/>
          <w:iCs/>
          <w:color w:val="000000" w:themeColor="text1"/>
          <w:spacing w:val="-2"/>
          <w:kern w:val="1"/>
          <w:sz w:val="22"/>
          <w:szCs w:val="22"/>
        </w:rPr>
        <w:t>wo</w:t>
      </w:r>
      <w:r w:rsidRPr="00F75658">
        <w:rPr>
          <w:rFonts w:ascii="Arial" w:hAnsi="Arial" w:cs="Arial"/>
          <w:i/>
          <w:iCs/>
          <w:color w:val="000000" w:themeColor="text1"/>
          <w:spacing w:val="-12"/>
          <w:kern w:val="1"/>
          <w:sz w:val="22"/>
          <w:szCs w:val="22"/>
        </w:rPr>
        <w:t>n</w:t>
      </w:r>
      <w:r w:rsidRPr="00F75658">
        <w:rPr>
          <w:rFonts w:ascii="Arial" w:hAnsi="Arial" w:cs="Arial"/>
          <w:i/>
          <w:iCs/>
          <w:color w:val="000000" w:themeColor="text1"/>
          <w:spacing w:val="-4"/>
          <w:kern w:val="1"/>
          <w:sz w:val="22"/>
          <w:szCs w:val="22"/>
        </w:rPr>
        <w:t>’</w:t>
      </w:r>
      <w:r w:rsidRPr="00F75658">
        <w:rPr>
          <w:rFonts w:ascii="Arial" w:hAnsi="Arial" w:cs="Arial"/>
          <w:i/>
          <w:iCs/>
          <w:color w:val="000000" w:themeColor="text1"/>
          <w:kern w:val="1"/>
          <w:sz w:val="22"/>
          <w:szCs w:val="22"/>
        </w:rPr>
        <w:t xml:space="preserve">t </w:t>
      </w:r>
      <w:r w:rsidRPr="00F75658">
        <w:rPr>
          <w:rFonts w:ascii="Arial" w:hAnsi="Arial" w:cs="Arial"/>
          <w:i/>
          <w:iCs/>
          <w:color w:val="000000" w:themeColor="text1"/>
          <w:spacing w:val="-2"/>
          <w:kern w:val="1"/>
          <w:sz w:val="22"/>
          <w:szCs w:val="22"/>
        </w:rPr>
        <w:t>w</w:t>
      </w:r>
      <w:r w:rsidRPr="00F75658">
        <w:rPr>
          <w:rFonts w:ascii="Arial" w:hAnsi="Arial" w:cs="Arial"/>
          <w:i/>
          <w:iCs/>
          <w:color w:val="000000" w:themeColor="text1"/>
          <w:kern w:val="1"/>
          <w:sz w:val="22"/>
          <w:szCs w:val="22"/>
        </w:rPr>
        <w:t>o</w:t>
      </w:r>
      <w:r w:rsidRPr="00F75658">
        <w:rPr>
          <w:rFonts w:ascii="Arial" w:hAnsi="Arial" w:cs="Arial"/>
          <w:i/>
          <w:iCs/>
          <w:color w:val="000000" w:themeColor="text1"/>
          <w:spacing w:val="-10"/>
          <w:kern w:val="1"/>
          <w:sz w:val="22"/>
          <w:szCs w:val="22"/>
        </w:rPr>
        <w:t>r</w:t>
      </w:r>
      <w:r w:rsidRPr="00F75658">
        <w:rPr>
          <w:rFonts w:ascii="Arial" w:hAnsi="Arial" w:cs="Arial"/>
          <w:i/>
          <w:iCs/>
          <w:color w:val="000000" w:themeColor="text1"/>
          <w:spacing w:val="-5"/>
          <w:kern w:val="1"/>
          <w:sz w:val="22"/>
          <w:szCs w:val="22"/>
        </w:rPr>
        <w:t>k</w:t>
      </w:r>
      <w:r w:rsidRPr="00F75658">
        <w:rPr>
          <w:rFonts w:ascii="Arial" w:hAnsi="Arial" w:cs="Arial"/>
          <w:color w:val="000000" w:themeColor="text1"/>
          <w:spacing w:val="-27"/>
          <w:kern w:val="1"/>
          <w:sz w:val="22"/>
          <w:szCs w:val="22"/>
        </w:rPr>
        <w:t>.</w:t>
      </w:r>
      <w:r w:rsidRPr="00F75658">
        <w:rPr>
          <w:rFonts w:ascii="Arial" w:hAnsi="Arial" w:cs="Arial"/>
          <w:color w:val="000000" w:themeColor="text1"/>
          <w:kern w:val="1"/>
          <w:sz w:val="22"/>
          <w:szCs w:val="22"/>
        </w:rPr>
        <w:t xml:space="preserve">” [Dr </w:t>
      </w:r>
      <w:proofErr w:type="spellStart"/>
      <w:r w:rsidRPr="00F75658">
        <w:rPr>
          <w:rFonts w:ascii="Arial" w:hAnsi="Arial" w:cs="Arial"/>
          <w:color w:val="000000" w:themeColor="text1"/>
          <w:kern w:val="1"/>
          <w:sz w:val="22"/>
          <w:szCs w:val="22"/>
        </w:rPr>
        <w:t>Til</w:t>
      </w:r>
      <w:proofErr w:type="spellEnd"/>
      <w:r w:rsidRPr="00F75658">
        <w:rPr>
          <w:rFonts w:ascii="Arial" w:hAnsi="Arial" w:cs="Arial"/>
          <w:color w:val="000000" w:themeColor="text1"/>
          <w:kern w:val="1"/>
          <w:sz w:val="22"/>
          <w:szCs w:val="22"/>
        </w:rPr>
        <w:t xml:space="preserve"> Jolly </w:t>
      </w:r>
      <w:r w:rsidRPr="00F75658">
        <w:rPr>
          <w:rFonts w:ascii="Arial" w:hAnsi="Arial" w:cs="Arial"/>
          <w:color w:val="000000" w:themeColor="text1"/>
          <w:kern w:val="1"/>
          <w:sz w:val="22"/>
          <w:szCs w:val="22"/>
        </w:rPr>
        <w:fldChar w:fldCharType="begin"/>
      </w:r>
      <w:r w:rsidRPr="00F75658">
        <w:rPr>
          <w:rFonts w:ascii="Arial" w:hAnsi="Arial" w:cs="Arial"/>
          <w:color w:val="000000" w:themeColor="text1"/>
          <w:kern w:val="1"/>
          <w:sz w:val="22"/>
          <w:szCs w:val="22"/>
        </w:rPr>
        <w:instrText xml:space="preserve"> ADDIN EN.CITE &lt;EndNote&gt;&lt;Cite&gt;&lt;Author&gt;The Doctors Company&lt;/Author&gt;&lt;Year&gt;2020&lt;/Year&gt;&lt;RecNum&gt;2991&lt;/RecNum&gt;&lt;DisplayText&gt;(9)&lt;/DisplayText&gt;&lt;record&gt;&lt;rec-number&gt;2991&lt;/rec-number&gt;&lt;foreign-keys&gt;&lt;key app="EN" db-id="zxxw0sde925ewfefpawpd2t79s9rs20pp0es" timestamp="1621433330"&gt;2991&lt;/key&gt;&lt;/foreign-keys&gt;&lt;ref-type name="Journal Article"&gt;17&lt;/ref-type&gt;&lt;contributors&gt;&lt;authors&gt;&lt;author&gt;The Doctors Company,&lt;/author&gt;&lt;/authors&gt;&lt;/contributors&gt;&lt;titles&gt;&lt;title&gt;The Risks and Benefits of Telehealth in the Future of Healthcare&lt;/title&gt;&lt;secondary-title&gt;Available at: thedoctors.com&lt;/secondary-title&gt;&lt;/titles&gt;&lt;periodical&gt;&lt;full-title&gt;Available at: thedoctors.com&lt;/full-title&gt;&lt;/periodical&gt;&lt;dates&gt;&lt;year&gt;2020&lt;/year&gt;&lt;/dates&gt;&lt;urls&gt;&lt;/urls&gt;&lt;/record&gt;&lt;/Cite&gt;&lt;/EndNote&gt;</w:instrText>
      </w:r>
      <w:r w:rsidRPr="00F75658">
        <w:rPr>
          <w:rFonts w:ascii="Arial" w:hAnsi="Arial" w:cs="Arial"/>
          <w:color w:val="000000" w:themeColor="text1"/>
          <w:kern w:val="1"/>
          <w:sz w:val="22"/>
          <w:szCs w:val="22"/>
        </w:rPr>
        <w:fldChar w:fldCharType="separate"/>
      </w:r>
      <w:r w:rsidRPr="00F75658">
        <w:rPr>
          <w:rFonts w:ascii="Arial" w:hAnsi="Arial" w:cs="Arial"/>
          <w:noProof/>
          <w:color w:val="000000" w:themeColor="text1"/>
          <w:kern w:val="1"/>
          <w:sz w:val="22"/>
          <w:szCs w:val="22"/>
        </w:rPr>
        <w:t>(9)</w:t>
      </w:r>
      <w:r w:rsidRPr="00F75658">
        <w:rPr>
          <w:rFonts w:ascii="Arial" w:hAnsi="Arial" w:cs="Arial"/>
          <w:color w:val="000000" w:themeColor="text1"/>
          <w:kern w:val="1"/>
          <w:sz w:val="22"/>
          <w:szCs w:val="22"/>
        </w:rPr>
        <w:fldChar w:fldCharType="end"/>
      </w:r>
      <w:r w:rsidRPr="00F75658">
        <w:rPr>
          <w:rFonts w:ascii="Arial" w:hAnsi="Arial" w:cs="Arial"/>
          <w:color w:val="000000" w:themeColor="text1"/>
          <w:kern w:val="1"/>
          <w:sz w:val="22"/>
          <w:szCs w:val="22"/>
        </w:rPr>
        <w:t>]  For companies to plan appropriately for the future, the economics of telehealth needs to be more clearly defined, standardized across states and, hopefully, stabilized.</w:t>
      </w:r>
    </w:p>
    <w:p w14:paraId="536307B8" w14:textId="77777777" w:rsidR="0036751A" w:rsidRDefault="00A65A09" w:rsidP="00EA41B8">
      <w:pPr>
        <w:pStyle w:val="body"/>
        <w:spacing w:before="240" w:line="276" w:lineRule="auto"/>
        <w:rPr>
          <w:rFonts w:ascii="Arial" w:hAnsi="Arial" w:cs="Arial"/>
          <w:sz w:val="22"/>
          <w:szCs w:val="22"/>
        </w:rPr>
      </w:pPr>
      <w:r w:rsidRPr="00F75658">
        <w:rPr>
          <w:rFonts w:ascii="Arial" w:hAnsi="Arial" w:cs="Arial"/>
          <w:b/>
          <w:bCs/>
          <w:color w:val="B79E38"/>
          <w:sz w:val="22"/>
          <w:szCs w:val="22"/>
        </w:rPr>
        <w:t>What we heard:</w:t>
      </w:r>
      <w:r w:rsidR="00C324FF" w:rsidRPr="00F75658">
        <w:rPr>
          <w:rFonts w:ascii="Arial" w:hAnsi="Arial" w:cs="Arial"/>
          <w:b/>
          <w:bCs/>
          <w:color w:val="B79E38"/>
          <w:sz w:val="22"/>
          <w:szCs w:val="22"/>
        </w:rPr>
        <w:t xml:space="preserve"> </w:t>
      </w:r>
      <w:r w:rsidR="00F75658" w:rsidRPr="00F75658">
        <w:rPr>
          <w:rFonts w:ascii="Arial" w:hAnsi="Arial" w:cs="Arial"/>
          <w:sz w:val="22"/>
          <w:szCs w:val="22"/>
        </w:rPr>
        <w:t xml:space="preserve">Universally, the issue of reimbursement and payment was a main concern—not only in this series of conversations, but in all conversations throughout the project.  Two telehealth providers we spoke to who work exclusively in women’s health shared several examples of how wider use of telemedicine could save significant waste in the healthcare system and should therefore be recognized for that value and reimbursed accordingly.  </w:t>
      </w:r>
    </w:p>
    <w:p w14:paraId="7DFBF2D5" w14:textId="77777777" w:rsidR="007646B5" w:rsidRDefault="007646B5" w:rsidP="00EA41B8">
      <w:pPr>
        <w:pStyle w:val="body"/>
        <w:spacing w:before="240" w:line="276" w:lineRule="auto"/>
        <w:rPr>
          <w:rFonts w:ascii="Arial" w:hAnsi="Arial" w:cs="Arial"/>
          <w:sz w:val="22"/>
          <w:szCs w:val="22"/>
        </w:rPr>
      </w:pPr>
    </w:p>
    <w:p w14:paraId="03DF4536" w14:textId="558F855C" w:rsidR="00A65A09" w:rsidRPr="005159F5" w:rsidRDefault="00F75658" w:rsidP="00EA41B8">
      <w:pPr>
        <w:pStyle w:val="body"/>
        <w:spacing w:before="240" w:line="276" w:lineRule="auto"/>
        <w:rPr>
          <w:rFonts w:ascii="Arial" w:hAnsi="Arial" w:cs="Arial"/>
          <w:color w:val="000000" w:themeColor="text1"/>
          <w:sz w:val="20"/>
          <w:szCs w:val="20"/>
        </w:rPr>
      </w:pPr>
      <w:r w:rsidRPr="00F75658">
        <w:rPr>
          <w:rFonts w:ascii="Arial" w:hAnsi="Arial" w:cs="Arial"/>
          <w:sz w:val="22"/>
          <w:szCs w:val="22"/>
        </w:rPr>
        <w:t>Requirements to make a “first stop” at a primary care visit for example, before being referred for diagnostics or visits to additional clinicians.  They also outlined how expanded access and payment for telemedicine could improve quality of diagnosis and care for patients, pointing to menopause as an illustration, a condition for which many women suffer with symptoms for weeks or months while waiting to get an appointment.</w:t>
      </w:r>
    </w:p>
    <w:p w14:paraId="660BC50C" w14:textId="77777777" w:rsidR="00F75658" w:rsidRPr="00F75658" w:rsidRDefault="00F75658" w:rsidP="00F75658">
      <w:pPr>
        <w:spacing w:line="276" w:lineRule="auto"/>
        <w:rPr>
          <w:rFonts w:ascii="Arial" w:hAnsi="Arial" w:cs="Arial"/>
          <w:sz w:val="22"/>
          <w:szCs w:val="22"/>
        </w:rPr>
      </w:pPr>
      <w:r w:rsidRPr="00F75658">
        <w:rPr>
          <w:rFonts w:ascii="Arial" w:hAnsi="Arial" w:cs="Arial"/>
          <w:sz w:val="22"/>
          <w:szCs w:val="22"/>
        </w:rPr>
        <w:t xml:space="preserve">The lack of clarity around liability, state licensure and regulations, and privacy and safety caused a fair amount of anxiety among those we talked to.  While the “can do” spirit fueling the early pandemic response may have created a real—or perceived—safe haven for these issues, now that the pandemic is slowly coming within control, that sense of safe haven is waning if not already gone.  A pair of quality and safety experts we spoke with posed a simple but chilling question as an example of the constant mental math underlying these interactions; what if a patient fell during a telediagnosis visit?  Would you have someone in their home call an ambulance?  Would you call it directly?  What would your role be as the provider overseeing that initial episode of care?  </w:t>
      </w:r>
    </w:p>
    <w:p w14:paraId="78FBCEC2" w14:textId="21C9EF4C" w:rsidR="00A65A09" w:rsidRPr="00763091" w:rsidRDefault="00A65A09" w:rsidP="00A65A09">
      <w:pPr>
        <w:rPr>
          <w:rFonts w:ascii="Arial" w:hAnsi="Arial" w:cs="Arial"/>
          <w:b/>
          <w:bCs/>
          <w:color w:val="C00000"/>
          <w:sz w:val="12"/>
          <w:szCs w:val="12"/>
        </w:rPr>
      </w:pPr>
    </w:p>
    <w:p w14:paraId="6F37EC46" w14:textId="4182C460" w:rsidR="00A65A09" w:rsidRDefault="005159F5" w:rsidP="00EA41B8">
      <w:pPr>
        <w:suppressAutoHyphens/>
        <w:autoSpaceDE w:val="0"/>
        <w:autoSpaceDN w:val="0"/>
        <w:adjustRightInd w:val="0"/>
        <w:spacing w:before="40" w:after="90" w:line="288" w:lineRule="auto"/>
        <w:textAlignment w:val="center"/>
        <w:rPr>
          <w:rFonts w:ascii="Arial" w:hAnsi="Arial" w:cs="Arial"/>
          <w:b/>
          <w:bCs/>
          <w:color w:val="000063"/>
          <w:sz w:val="28"/>
          <w:szCs w:val="28"/>
        </w:rPr>
      </w:pPr>
      <w:r>
        <w:rPr>
          <w:rFonts w:ascii="Arial" w:hAnsi="Arial" w:cs="Arial"/>
          <w:b/>
          <w:bCs/>
          <w:color w:val="000063"/>
          <w:sz w:val="28"/>
          <w:szCs w:val="28"/>
        </w:rPr>
        <w:t>Maintenance</w:t>
      </w:r>
    </w:p>
    <w:p w14:paraId="6FEC1F7C" w14:textId="77777777" w:rsidR="00F75658" w:rsidRPr="00F75658" w:rsidRDefault="00A65A09" w:rsidP="00F75658">
      <w:pPr>
        <w:suppressAutoHyphens/>
        <w:autoSpaceDE w:val="0"/>
        <w:autoSpaceDN w:val="0"/>
        <w:adjustRightInd w:val="0"/>
        <w:spacing w:before="240" w:after="90" w:line="288" w:lineRule="auto"/>
        <w:textAlignment w:val="center"/>
        <w:rPr>
          <w:rFonts w:ascii="Arial" w:hAnsi="Arial" w:cs="Arial"/>
          <w:color w:val="000000" w:themeColor="text1"/>
          <w:sz w:val="22"/>
          <w:szCs w:val="22"/>
        </w:rPr>
      </w:pPr>
      <w:r w:rsidRPr="00F75658">
        <w:rPr>
          <w:rFonts w:ascii="Arial" w:hAnsi="Arial" w:cs="Arial"/>
          <w:b/>
          <w:bCs/>
          <w:color w:val="B79E38"/>
          <w:sz w:val="22"/>
          <w:szCs w:val="22"/>
        </w:rPr>
        <w:t>Key findings from the literature:</w:t>
      </w:r>
      <w:r w:rsidR="00C324FF" w:rsidRPr="00F75658">
        <w:rPr>
          <w:rFonts w:ascii="Arial" w:hAnsi="Arial" w:cs="Arial"/>
          <w:b/>
          <w:bCs/>
          <w:color w:val="000000" w:themeColor="text1"/>
          <w:sz w:val="22"/>
          <w:szCs w:val="22"/>
        </w:rPr>
        <w:t xml:space="preserve"> </w:t>
      </w:r>
      <w:r w:rsidR="00F75658" w:rsidRPr="00F75658">
        <w:rPr>
          <w:rFonts w:ascii="Arial" w:hAnsi="Arial" w:cs="Arial"/>
          <w:color w:val="000000" w:themeColor="text1"/>
          <w:sz w:val="22"/>
          <w:szCs w:val="22"/>
        </w:rPr>
        <w:t>The rapid uptake of telediagnosis during the COVID-19 pandemic has proven to be a disruptive alteration of the</w:t>
      </w:r>
      <w:r w:rsidR="00F75658" w:rsidRPr="00F75658">
        <w:rPr>
          <w:rFonts w:ascii="Arial" w:hAnsi="Arial" w:cs="Arial"/>
          <w:b/>
          <w:bCs/>
          <w:color w:val="000000" w:themeColor="text1"/>
          <w:sz w:val="22"/>
          <w:szCs w:val="22"/>
        </w:rPr>
        <w:t xml:space="preserve"> </w:t>
      </w:r>
      <w:r w:rsidR="00F75658" w:rsidRPr="00F75658">
        <w:rPr>
          <w:rFonts w:ascii="Arial" w:hAnsi="Arial" w:cs="Arial"/>
          <w:color w:val="000000" w:themeColor="text1"/>
          <w:sz w:val="22"/>
          <w:szCs w:val="22"/>
        </w:rPr>
        <w:t>‘normal’ diagnostic process.  There is no longer a question of things ‘returning to normal’; telediagnosis will have a long-lasting impact on diagnosis, and these changes are likely to evolve and even accelerate in the near term.  Here’s what we see:</w:t>
      </w:r>
    </w:p>
    <w:p w14:paraId="7BC25310" w14:textId="77777777" w:rsidR="00F75658" w:rsidRPr="00F75658" w:rsidRDefault="00F75658" w:rsidP="00F75658">
      <w:pPr>
        <w:pStyle w:val="ListParagraph"/>
        <w:numPr>
          <w:ilvl w:val="0"/>
          <w:numId w:val="1"/>
        </w:numPr>
        <w:spacing w:line="276" w:lineRule="auto"/>
        <w:rPr>
          <w:rFonts w:ascii="Arial" w:hAnsi="Arial" w:cs="Arial"/>
          <w:sz w:val="22"/>
          <w:szCs w:val="22"/>
        </w:rPr>
      </w:pPr>
      <w:r w:rsidRPr="00F75658">
        <w:rPr>
          <w:rFonts w:ascii="Arial" w:hAnsi="Arial" w:cs="Arial"/>
          <w:sz w:val="22"/>
          <w:szCs w:val="22"/>
        </w:rPr>
        <w:t>Telediagnosis will complement and enhance in-person care, not replace it;</w:t>
      </w:r>
    </w:p>
    <w:p w14:paraId="68F98153" w14:textId="77777777" w:rsidR="00F75658" w:rsidRPr="00F75658" w:rsidRDefault="00F75658" w:rsidP="00F75658">
      <w:pPr>
        <w:pStyle w:val="ListParagraph"/>
        <w:numPr>
          <w:ilvl w:val="0"/>
          <w:numId w:val="1"/>
        </w:numPr>
        <w:spacing w:line="276" w:lineRule="auto"/>
        <w:rPr>
          <w:rFonts w:ascii="Arial" w:hAnsi="Arial" w:cs="Arial"/>
          <w:sz w:val="22"/>
          <w:szCs w:val="22"/>
        </w:rPr>
      </w:pPr>
      <w:r w:rsidRPr="00F75658">
        <w:rPr>
          <w:rFonts w:ascii="Arial" w:hAnsi="Arial" w:cs="Arial"/>
          <w:sz w:val="22"/>
          <w:szCs w:val="22"/>
        </w:rPr>
        <w:t>Hybrid systems will be the norm, and patients will have options;</w:t>
      </w:r>
    </w:p>
    <w:p w14:paraId="46E33860" w14:textId="77777777" w:rsidR="00F75658" w:rsidRPr="00F75658" w:rsidRDefault="00F75658" w:rsidP="00F75658">
      <w:pPr>
        <w:pStyle w:val="ListParagraph"/>
        <w:numPr>
          <w:ilvl w:val="0"/>
          <w:numId w:val="1"/>
        </w:numPr>
        <w:spacing w:line="276" w:lineRule="auto"/>
        <w:rPr>
          <w:rFonts w:ascii="Arial" w:hAnsi="Arial" w:cs="Arial"/>
          <w:sz w:val="22"/>
          <w:szCs w:val="22"/>
        </w:rPr>
      </w:pPr>
      <w:r w:rsidRPr="00F75658">
        <w:rPr>
          <w:rFonts w:ascii="Arial" w:hAnsi="Arial" w:cs="Arial"/>
          <w:sz w:val="22"/>
          <w:szCs w:val="22"/>
        </w:rPr>
        <w:t>Telehealth will facilitate access to sub-specialists, second opinions, and decision support</w:t>
      </w:r>
    </w:p>
    <w:p w14:paraId="15F691F2" w14:textId="77777777" w:rsidR="00F75658" w:rsidRPr="00F75658" w:rsidRDefault="00F75658" w:rsidP="00F75658">
      <w:pPr>
        <w:pStyle w:val="ListParagraph"/>
        <w:numPr>
          <w:ilvl w:val="0"/>
          <w:numId w:val="1"/>
        </w:numPr>
        <w:spacing w:line="276" w:lineRule="auto"/>
        <w:rPr>
          <w:rFonts w:ascii="Arial" w:hAnsi="Arial" w:cs="Arial"/>
          <w:sz w:val="22"/>
          <w:szCs w:val="22"/>
        </w:rPr>
      </w:pPr>
      <w:r w:rsidRPr="00F75658">
        <w:rPr>
          <w:rFonts w:ascii="Arial" w:hAnsi="Arial" w:cs="Arial"/>
          <w:sz w:val="22"/>
          <w:szCs w:val="22"/>
        </w:rPr>
        <w:t>Chat and messaging will be used extensively.  Just as these have become so common in our personal lives, they will be used increasingly in our healthcare as well;</w:t>
      </w:r>
    </w:p>
    <w:p w14:paraId="0B5CDE52" w14:textId="23DDE970" w:rsidR="00F75658" w:rsidRPr="0036751A" w:rsidRDefault="00F75658" w:rsidP="00F75658">
      <w:pPr>
        <w:pStyle w:val="ListParagraph"/>
        <w:numPr>
          <w:ilvl w:val="0"/>
          <w:numId w:val="1"/>
        </w:numPr>
        <w:spacing w:line="276" w:lineRule="auto"/>
        <w:rPr>
          <w:rFonts w:ascii="Arial" w:hAnsi="Arial" w:cs="Arial"/>
          <w:sz w:val="22"/>
          <w:szCs w:val="22"/>
        </w:rPr>
      </w:pPr>
      <w:r w:rsidRPr="00F75658">
        <w:rPr>
          <w:rFonts w:ascii="Arial" w:hAnsi="Arial" w:cs="Arial"/>
          <w:sz w:val="22"/>
          <w:szCs w:val="22"/>
        </w:rPr>
        <w:t>Telehealth applications will interact seamlessly with EMR’s and patient portals; and</w:t>
      </w:r>
    </w:p>
    <w:p w14:paraId="37961D9B" w14:textId="77777777" w:rsidR="00F75658" w:rsidRPr="00F75658" w:rsidRDefault="00F75658" w:rsidP="00F75658">
      <w:pPr>
        <w:pStyle w:val="ListParagraph"/>
        <w:numPr>
          <w:ilvl w:val="0"/>
          <w:numId w:val="1"/>
        </w:numPr>
        <w:spacing w:line="276" w:lineRule="auto"/>
        <w:rPr>
          <w:rFonts w:ascii="Arial" w:hAnsi="Arial" w:cs="Arial"/>
          <w:sz w:val="22"/>
          <w:szCs w:val="22"/>
        </w:rPr>
      </w:pPr>
      <w:r w:rsidRPr="00F75658">
        <w:rPr>
          <w:rFonts w:ascii="Arial" w:hAnsi="Arial" w:cs="Arial"/>
          <w:sz w:val="22"/>
          <w:szCs w:val="22"/>
        </w:rPr>
        <w:t xml:space="preserve">There will be rapid growth in remote patient monitoring and asynchronous communication vehicles, including the development and use of  in-home devices for evaluation, measurement, and communication, </w:t>
      </w:r>
    </w:p>
    <w:p w14:paraId="2DA27534" w14:textId="396E7468" w:rsidR="0036751A" w:rsidRDefault="00F75658" w:rsidP="00F75658">
      <w:pPr>
        <w:suppressAutoHyphens/>
        <w:autoSpaceDE w:val="0"/>
        <w:autoSpaceDN w:val="0"/>
        <w:adjustRightInd w:val="0"/>
        <w:spacing w:before="240" w:after="90" w:line="276" w:lineRule="auto"/>
        <w:textAlignment w:val="center"/>
        <w:rPr>
          <w:rFonts w:ascii="Arial" w:hAnsi="Arial" w:cs="Arial"/>
          <w:color w:val="000000" w:themeColor="text1"/>
          <w:sz w:val="22"/>
          <w:szCs w:val="22"/>
        </w:rPr>
      </w:pPr>
      <w:r w:rsidRPr="00F75658">
        <w:rPr>
          <w:rFonts w:ascii="Arial" w:hAnsi="Arial" w:cs="Arial"/>
          <w:color w:val="000000" w:themeColor="text1"/>
          <w:sz w:val="22"/>
          <w:szCs w:val="22"/>
        </w:rPr>
        <w:t>The telehealth revolution goes far beyond just replacing one mode of communication with another.  Recommendations from The Commonwealth Fund frame the upcoming policy decisions as a unique opportunity to improve healthcare access, quality, and value.</w:t>
      </w:r>
      <w:r w:rsidRPr="00F75658">
        <w:rPr>
          <w:rFonts w:ascii="Arial" w:hAnsi="Arial" w:cs="Arial"/>
          <w:color w:val="000000" w:themeColor="text1"/>
          <w:sz w:val="22"/>
          <w:szCs w:val="22"/>
        </w:rPr>
        <w:fldChar w:fldCharType="begin"/>
      </w:r>
      <w:r w:rsidRPr="00F75658">
        <w:rPr>
          <w:rFonts w:ascii="Arial" w:hAnsi="Arial" w:cs="Arial"/>
          <w:color w:val="000000" w:themeColor="text1"/>
          <w:sz w:val="22"/>
          <w:szCs w:val="22"/>
        </w:rPr>
        <w:instrText xml:space="preserve"> ADDIN EN.CITE &lt;EndNote&gt;&lt;Cite&gt;&lt;Author&gt;Mehrotra&lt;/Author&gt;&lt;Year&gt;2020&lt;/Year&gt;&lt;RecNum&gt;2984&lt;/RecNum&gt;&lt;DisplayText&gt;(22)&lt;/DisplayText&gt;&lt;record&gt;&lt;rec-number&gt;2984&lt;/rec-number&gt;&lt;foreign-keys&gt;&lt;key app="EN" db-id="zxxw0sde925ewfefpawpd2t79s9rs20pp0es" timestamp="1621382633"&gt;2984&lt;/key&gt;&lt;/foreign-keys&gt;&lt;ref-type name="Report"&gt;27&lt;/ref-type&gt;&lt;contributors&gt;&lt;authors&gt;&lt;author&gt;Mehrotra, A&lt;/author&gt;&lt;author&gt;Wang, B&lt;/author&gt;&lt;author&gt;Snyder, G&lt;/author&gt;&lt;/authors&gt;&lt;/contributors&gt;&lt;titles&gt;&lt;title&gt;Telemedicine: What Should the Post-Pandemic Regulatory and Payment Landscape Look Like?&lt;/title&gt;&lt;/titles&gt;&lt;number&gt;https://www.commonwealthfund.org/publications/issue-briefs/2020/aug/telemedicine-post-pandemic-regulation&lt;/number&gt;&lt;dates&gt;&lt;year&gt;2020&lt;/year&gt;&lt;/dates&gt;&lt;publisher&gt;The Commonwealth Fund&lt;/publisher&gt;&lt;urls&gt;&lt;/urls&gt;&lt;/record&gt;&lt;/Cite&gt;&lt;/EndNote&gt;</w:instrText>
      </w:r>
      <w:r w:rsidRPr="00F75658">
        <w:rPr>
          <w:rFonts w:ascii="Arial" w:hAnsi="Arial" w:cs="Arial"/>
          <w:color w:val="000000" w:themeColor="text1"/>
          <w:sz w:val="22"/>
          <w:szCs w:val="22"/>
        </w:rPr>
        <w:fldChar w:fldCharType="separate"/>
      </w:r>
      <w:r w:rsidRPr="00F75658">
        <w:rPr>
          <w:rFonts w:ascii="Arial" w:hAnsi="Arial" w:cs="Arial"/>
          <w:color w:val="000000" w:themeColor="text1"/>
          <w:sz w:val="22"/>
          <w:szCs w:val="22"/>
        </w:rPr>
        <w:t>(22)</w:t>
      </w:r>
      <w:r w:rsidRPr="00F75658">
        <w:rPr>
          <w:rFonts w:ascii="Arial" w:hAnsi="Arial" w:cs="Arial"/>
          <w:color w:val="000000" w:themeColor="text1"/>
          <w:sz w:val="22"/>
          <w:szCs w:val="22"/>
        </w:rPr>
        <w:fldChar w:fldCharType="end"/>
      </w:r>
      <w:r w:rsidRPr="00F75658">
        <w:rPr>
          <w:rFonts w:ascii="Arial" w:hAnsi="Arial" w:cs="Arial"/>
          <w:color w:val="000000" w:themeColor="text1"/>
          <w:sz w:val="22"/>
          <w:szCs w:val="22"/>
        </w:rPr>
        <w:t xml:space="preserve">  A posting by Forbes predicted that telehealth will transform not only diagnosis, but provide ‘end to end care management’.</w:t>
      </w:r>
      <w:r w:rsidRPr="00F75658">
        <w:rPr>
          <w:rFonts w:ascii="Arial" w:hAnsi="Arial" w:cs="Arial"/>
          <w:color w:val="000000" w:themeColor="text1"/>
          <w:sz w:val="22"/>
          <w:szCs w:val="22"/>
        </w:rPr>
        <w:fldChar w:fldCharType="begin"/>
      </w:r>
      <w:r w:rsidRPr="00F75658">
        <w:rPr>
          <w:rFonts w:ascii="Arial" w:hAnsi="Arial" w:cs="Arial"/>
          <w:color w:val="000000" w:themeColor="text1"/>
          <w:sz w:val="22"/>
          <w:szCs w:val="22"/>
        </w:rPr>
        <w:instrText xml:space="preserve"> ADDIN EN.CITE &lt;EndNote&gt;&lt;Cite&gt;&lt;Author&gt;Maheshwari&lt;/Author&gt;&lt;Year&gt;2020&lt;/Year&gt;&lt;RecNum&gt;2988&lt;/RecNum&gt;&lt;DisplayText&gt;(2)&lt;/DisplayText&gt;&lt;record&gt;&lt;rec-number&gt;2988&lt;/rec-number&gt;&lt;foreign-keys&gt;&lt;key app="EN" db-id="zxxw0sde925ewfefpawpd2t79s9rs20pp0es" timestamp="1621384602"&gt;2988&lt;/key&gt;&lt;/foreign-keys&gt;&lt;ref-type name="Journal Article"&gt;17&lt;/ref-type&gt;&lt;contributors&gt;&lt;authors&gt;&lt;author&gt;Maheshwari, P&lt;/author&gt;&lt;/authors&gt;&lt;/contributors&gt;&lt;titles&gt;&lt;title&gt;Our New Normal: The Rise In Telemedicine Adoption And Its Role After The Pandemic&lt;/title&gt;&lt;secondary-title&gt;Forbes&lt;/secondary-title&gt;&lt;/titles&gt;&lt;periodical&gt;&lt;full-title&gt;Forbes&lt;/full-title&gt;&lt;/periodical&gt;&lt;volume&gt;Available at:  https://www.forbes.com/sites/forbestechcouncil/2020/09/02/our-new-normal-the-rise-in-telemedicine-adoption-and-its-role-after-the-pandemic/?sh=6cfcdb8932c0&lt;/volume&gt;&lt;dates&gt;&lt;year&gt;2020&lt;/year&gt;&lt;/dates&gt;&lt;urls&gt;&lt;/urls&gt;&lt;/record&gt;&lt;/Cite&gt;&lt;/EndNote&gt;</w:instrText>
      </w:r>
      <w:r w:rsidRPr="00F75658">
        <w:rPr>
          <w:rFonts w:ascii="Arial" w:hAnsi="Arial" w:cs="Arial"/>
          <w:color w:val="000000" w:themeColor="text1"/>
          <w:sz w:val="22"/>
          <w:szCs w:val="22"/>
        </w:rPr>
        <w:fldChar w:fldCharType="separate"/>
      </w:r>
      <w:r w:rsidRPr="00F75658">
        <w:rPr>
          <w:rFonts w:ascii="Arial" w:hAnsi="Arial" w:cs="Arial"/>
          <w:color w:val="000000" w:themeColor="text1"/>
          <w:sz w:val="22"/>
          <w:szCs w:val="22"/>
        </w:rPr>
        <w:t>(2)</w:t>
      </w:r>
      <w:r w:rsidRPr="00F75658">
        <w:rPr>
          <w:rFonts w:ascii="Arial" w:hAnsi="Arial" w:cs="Arial"/>
          <w:color w:val="000000" w:themeColor="text1"/>
          <w:sz w:val="22"/>
          <w:szCs w:val="22"/>
        </w:rPr>
        <w:fldChar w:fldCharType="end"/>
      </w:r>
      <w:r w:rsidRPr="00F75658">
        <w:rPr>
          <w:rFonts w:ascii="Arial" w:hAnsi="Arial" w:cs="Arial"/>
          <w:color w:val="000000" w:themeColor="text1"/>
          <w:sz w:val="22"/>
          <w:szCs w:val="22"/>
        </w:rPr>
        <w:t xml:space="preserve">  The theme of telehealth as an opportunity for re-invention has been echoed by others, envisioning telehealth as an important avenue to improve not only access and convenience, but as a medium that supports patient sovereignty and the patient-physician relationship generally.  “</w:t>
      </w:r>
      <w:r w:rsidRPr="00F75658">
        <w:rPr>
          <w:rFonts w:ascii="Arial" w:hAnsi="Arial" w:cs="Arial"/>
          <w:i/>
          <w:iCs/>
          <w:color w:val="000000" w:themeColor="text1"/>
          <w:sz w:val="22"/>
          <w:szCs w:val="22"/>
        </w:rPr>
        <w:t>Digital healthcare has everything to do with where medicine is going, not where it’s been</w:t>
      </w:r>
      <w:r w:rsidRPr="00F75658">
        <w:rPr>
          <w:rFonts w:ascii="Arial" w:hAnsi="Arial" w:cs="Arial"/>
          <w:color w:val="000000" w:themeColor="text1"/>
          <w:sz w:val="22"/>
          <w:szCs w:val="22"/>
        </w:rPr>
        <w:t>.”</w:t>
      </w:r>
      <w:r w:rsidRPr="00F75658">
        <w:rPr>
          <w:rFonts w:ascii="Arial" w:hAnsi="Arial" w:cs="Arial"/>
          <w:color w:val="000000" w:themeColor="text1"/>
          <w:sz w:val="22"/>
          <w:szCs w:val="22"/>
        </w:rPr>
        <w:fldChar w:fldCharType="begin"/>
      </w:r>
      <w:r w:rsidRPr="00F75658">
        <w:rPr>
          <w:rFonts w:ascii="Arial" w:hAnsi="Arial" w:cs="Arial"/>
          <w:color w:val="000000" w:themeColor="text1"/>
          <w:sz w:val="22"/>
          <w:szCs w:val="22"/>
        </w:rPr>
        <w:instrText xml:space="preserve"> ADDIN EN.CITE &lt;EndNote&gt;&lt;Cite&gt;&lt;Author&gt;Muto&lt;/Author&gt;&lt;Year&gt;2020&lt;/Year&gt;&lt;RecNum&gt;2986&lt;/RecNum&gt;&lt;DisplayText&gt;(23)&lt;/DisplayText&gt;&lt;record&gt;&lt;rec-number&gt;2986&lt;/rec-number&gt;&lt;foreign-keys&gt;&lt;key app="EN" db-id="zxxw0sde925ewfefpawpd2t79s9rs20pp0es" timestamp="1621383723"&gt;2986&lt;/key&gt;&lt;/foreign-keys&gt;&lt;ref-type name="Journal Article"&gt;17&lt;/ref-type&gt;&lt;contributors&gt;&lt;authors&gt;&lt;author&gt;Muto, P&lt;/author&gt;&lt;/authors&gt;&lt;/contributors&gt;&lt;titles&gt;&lt;title&gt;How Digital Healthcare Technology Can Reinvent the Doctor-Patient Relationship&lt;/title&gt;&lt;secondary-title&gt;Available at: https://builtin.com/healthcare-technology/how-digital-healthcare-can-reinvent-doctor-patient-relationship&lt;/secondary-title&gt;&lt;/titles&gt;&lt;periodical&gt;&lt;full-title&gt;Available at: https://builtin.com/healthcare-technology/how-digital-healthcare-can-reinvent-doctor-patient-relationship&lt;/full-title&gt;&lt;/periodical&gt;&lt;dates&gt;&lt;year&gt;2020&lt;/year&gt;&lt;/dates&gt;&lt;urls&gt;&lt;/urls&gt;&lt;/record&gt;&lt;/Cite&gt;&lt;/EndNote&gt;</w:instrText>
      </w:r>
      <w:r w:rsidRPr="00F75658">
        <w:rPr>
          <w:rFonts w:ascii="Arial" w:hAnsi="Arial" w:cs="Arial"/>
          <w:color w:val="000000" w:themeColor="text1"/>
          <w:sz w:val="22"/>
          <w:szCs w:val="22"/>
        </w:rPr>
        <w:fldChar w:fldCharType="separate"/>
      </w:r>
      <w:r w:rsidRPr="00F75658">
        <w:rPr>
          <w:rFonts w:ascii="Arial" w:hAnsi="Arial" w:cs="Arial"/>
          <w:color w:val="000000" w:themeColor="text1"/>
          <w:sz w:val="22"/>
          <w:szCs w:val="22"/>
        </w:rPr>
        <w:t>(23)</w:t>
      </w:r>
      <w:r w:rsidRPr="00F75658">
        <w:rPr>
          <w:rFonts w:ascii="Arial" w:hAnsi="Arial" w:cs="Arial"/>
          <w:color w:val="000000" w:themeColor="text1"/>
          <w:sz w:val="22"/>
          <w:szCs w:val="22"/>
        </w:rPr>
        <w:fldChar w:fldCharType="end"/>
      </w:r>
    </w:p>
    <w:p w14:paraId="5D748861" w14:textId="77777777" w:rsidR="00063CA9" w:rsidRPr="00063CA9" w:rsidRDefault="00063CA9" w:rsidP="00F75658">
      <w:pPr>
        <w:suppressAutoHyphens/>
        <w:autoSpaceDE w:val="0"/>
        <w:autoSpaceDN w:val="0"/>
        <w:adjustRightInd w:val="0"/>
        <w:spacing w:before="240" w:after="90" w:line="276" w:lineRule="auto"/>
        <w:textAlignment w:val="center"/>
        <w:rPr>
          <w:rFonts w:ascii="Arial" w:hAnsi="Arial" w:cs="Arial"/>
          <w:color w:val="000000" w:themeColor="text1"/>
          <w:sz w:val="22"/>
          <w:szCs w:val="22"/>
        </w:rPr>
      </w:pPr>
    </w:p>
    <w:p w14:paraId="37186B1B" w14:textId="13513672" w:rsidR="00F75658" w:rsidRPr="00F75658" w:rsidRDefault="00F75658" w:rsidP="00F75658">
      <w:pPr>
        <w:suppressAutoHyphens/>
        <w:autoSpaceDE w:val="0"/>
        <w:autoSpaceDN w:val="0"/>
        <w:adjustRightInd w:val="0"/>
        <w:spacing w:before="240" w:after="90" w:line="276" w:lineRule="auto"/>
        <w:textAlignment w:val="center"/>
        <w:rPr>
          <w:rFonts w:ascii="Arial" w:hAnsi="Arial" w:cs="Arial"/>
          <w:color w:val="000000" w:themeColor="text1"/>
          <w:sz w:val="22"/>
          <w:szCs w:val="22"/>
        </w:rPr>
      </w:pPr>
      <w:r w:rsidRPr="00F75658">
        <w:rPr>
          <w:rFonts w:ascii="Arial" w:hAnsi="Arial" w:cs="Arial"/>
          <w:sz w:val="22"/>
          <w:szCs w:val="22"/>
        </w:rPr>
        <w:t>The net impact of telehealth on diagnosis in the United States is likely to be positive, with the negative impact of the missing physical examination being offset by the many positive features.</w:t>
      </w:r>
    </w:p>
    <w:p w14:paraId="3ED1B0F1" w14:textId="7837622C" w:rsidR="00F75658" w:rsidRPr="00F75658" w:rsidRDefault="00F75658" w:rsidP="00F75658">
      <w:pPr>
        <w:spacing w:line="276" w:lineRule="auto"/>
        <w:rPr>
          <w:rFonts w:ascii="Arial" w:hAnsi="Arial" w:cs="Arial"/>
          <w:sz w:val="22"/>
          <w:szCs w:val="22"/>
        </w:rPr>
      </w:pPr>
      <w:r w:rsidRPr="00F75658">
        <w:rPr>
          <w:rFonts w:ascii="Arial" w:hAnsi="Arial" w:cs="Arial"/>
          <w:sz w:val="22"/>
          <w:szCs w:val="22"/>
        </w:rPr>
        <w:t>Diagnosis timeliness will benefit directly from improved access to care, and diagnostic accuracy will be enhanced thanks to easier follow-up and enhanced access to second opinions, specialty consults, and decision support resources.</w:t>
      </w:r>
    </w:p>
    <w:p w14:paraId="7FBE2E49" w14:textId="77777777" w:rsidR="00F75658" w:rsidRDefault="00F75658" w:rsidP="00F75658"/>
    <w:p w14:paraId="35688FA0" w14:textId="3B432DF9" w:rsidR="00F75658" w:rsidRPr="00F75658" w:rsidRDefault="00A65A09" w:rsidP="00F75658">
      <w:pPr>
        <w:pStyle w:val="body"/>
        <w:spacing w:line="276" w:lineRule="auto"/>
        <w:rPr>
          <w:rFonts w:ascii="Arial" w:hAnsi="Arial" w:cs="Arial"/>
          <w:sz w:val="22"/>
          <w:szCs w:val="22"/>
        </w:rPr>
      </w:pPr>
      <w:r w:rsidRPr="00F75658">
        <w:rPr>
          <w:rFonts w:ascii="Arial" w:hAnsi="Arial" w:cs="Arial"/>
          <w:b/>
          <w:bCs/>
          <w:color w:val="B79E38"/>
          <w:sz w:val="22"/>
          <w:szCs w:val="22"/>
        </w:rPr>
        <w:t>What we heard:</w:t>
      </w:r>
      <w:r w:rsidR="00C324FF" w:rsidRPr="00F75658">
        <w:rPr>
          <w:rFonts w:ascii="Arial" w:hAnsi="Arial" w:cs="Arial"/>
          <w:color w:val="B79E38"/>
          <w:sz w:val="22"/>
          <w:szCs w:val="22"/>
        </w:rPr>
        <w:t xml:space="preserve"> </w:t>
      </w:r>
      <w:r w:rsidR="00F75658" w:rsidRPr="00F75658">
        <w:rPr>
          <w:rFonts w:ascii="Arial" w:hAnsi="Arial" w:cs="Arial"/>
          <w:sz w:val="22"/>
          <w:szCs w:val="22"/>
        </w:rPr>
        <w:t>The bottom line across all of the conversations we had is that telemedicine “has a place” in healthcare; a sentiment echoed by the patients we spoke with, as described in the fourth brief in the series.(cite for brief) Telehealth providers recognized the many limitations described above and elsewhere in the literature, but they had also begun developing their own simple algorithms or metrics for making decisions when the choice between virtual and in-person diagnosis was fairly obvious.  The more “grey” areas are where guidelines and more research are needed, just as more firm guidance is needed around liability, cross-state regulation, and privacy.</w:t>
      </w:r>
    </w:p>
    <w:p w14:paraId="13F67D16" w14:textId="4C7711CC" w:rsidR="00F75658" w:rsidRPr="0036751A" w:rsidRDefault="00F75658" w:rsidP="0036751A">
      <w:pPr>
        <w:pStyle w:val="body"/>
        <w:spacing w:line="276" w:lineRule="auto"/>
        <w:rPr>
          <w:rFonts w:ascii="Arial" w:hAnsi="Arial" w:cs="Arial"/>
          <w:sz w:val="22"/>
          <w:szCs w:val="22"/>
        </w:rPr>
      </w:pPr>
      <w:r w:rsidRPr="00F75658">
        <w:rPr>
          <w:rFonts w:ascii="Arial" w:hAnsi="Arial" w:cs="Arial"/>
          <w:sz w:val="22"/>
          <w:szCs w:val="22"/>
        </w:rPr>
        <w:t xml:space="preserve">Everyone we spoke with also saw immense opportunity for expanding access to patients, whether through the new ability to connect remotely for those in rural areas, or simply because logging on to a virtual visit does not require a multi-hour chunk of time that interferes with work, school, or family obligations.  Those providers offering asynchronous telemedicine like remote patient monitoring or educational platforms also saw immense value through better coordination of care and more consistent contact with the patient, enhancing the ability to make new diagnoses if new symptoms arose.  </w:t>
      </w:r>
    </w:p>
    <w:p w14:paraId="34C60722" w14:textId="76F4448B" w:rsidR="00A43D67" w:rsidRPr="004D6704" w:rsidRDefault="00A43D67" w:rsidP="00363746">
      <w:pPr>
        <w:suppressAutoHyphens/>
        <w:autoSpaceDE w:val="0"/>
        <w:autoSpaceDN w:val="0"/>
        <w:adjustRightInd w:val="0"/>
        <w:spacing w:before="240" w:after="90" w:line="288" w:lineRule="auto"/>
        <w:textAlignment w:val="center"/>
        <w:rPr>
          <w:rFonts w:ascii="Arial" w:hAnsi="Arial" w:cs="Arial"/>
          <w:b/>
          <w:bCs/>
          <w:color w:val="000063"/>
          <w:sz w:val="28"/>
          <w:szCs w:val="28"/>
        </w:rPr>
      </w:pPr>
      <w:r w:rsidRPr="004D6704">
        <w:rPr>
          <w:rFonts w:ascii="Arial" w:hAnsi="Arial" w:cs="Arial"/>
          <w:b/>
          <w:bCs/>
          <w:color w:val="000063"/>
          <w:sz w:val="28"/>
          <w:szCs w:val="28"/>
        </w:rPr>
        <w:t xml:space="preserve">Conclusion </w:t>
      </w:r>
    </w:p>
    <w:p w14:paraId="5ABE6914" w14:textId="79892280" w:rsidR="00153D64" w:rsidRPr="0036751A" w:rsidRDefault="00A43D67" w:rsidP="0036751A">
      <w:pPr>
        <w:pStyle w:val="body"/>
        <w:spacing w:line="276" w:lineRule="auto"/>
        <w:rPr>
          <w:rFonts w:ascii="Arial" w:hAnsi="Arial" w:cs="Arial"/>
          <w:sz w:val="22"/>
          <w:szCs w:val="22"/>
        </w:rPr>
      </w:pPr>
      <w:r w:rsidRPr="0036751A">
        <w:rPr>
          <w:rFonts w:ascii="Arial" w:hAnsi="Arial" w:cs="Arial"/>
          <w:sz w:val="22"/>
          <w:szCs w:val="22"/>
        </w:rPr>
        <w:t xml:space="preserve">Understanding the barriers to and facilitators for rapid adoption of telehealth for diagnosis is key to promoting high quality diagnosis and ultimately, optimal patient outcomes.  </w:t>
      </w:r>
      <w:r w:rsidR="009D01B7" w:rsidRPr="0036751A">
        <w:rPr>
          <w:rFonts w:ascii="Arial" w:hAnsi="Arial" w:cs="Arial"/>
          <w:sz w:val="22"/>
          <w:szCs w:val="22"/>
        </w:rPr>
        <w:t xml:space="preserve">Through a series of conversations with providers from clinical practices, hospitals, and health systems, and an in-depth review of current literature, we were able to elucidate some early trends in </w:t>
      </w:r>
      <w:r w:rsidR="009D01B7" w:rsidRPr="0036751A">
        <w:rPr>
          <w:rFonts w:ascii="Arial" w:hAnsi="Arial" w:cs="Arial"/>
          <w:b/>
          <w:bCs/>
          <w:color w:val="B79E38"/>
          <w:sz w:val="22"/>
          <w:szCs w:val="22"/>
        </w:rPr>
        <w:t>R</w:t>
      </w:r>
      <w:r w:rsidR="009D01B7" w:rsidRPr="0036751A">
        <w:rPr>
          <w:rFonts w:ascii="Arial" w:hAnsi="Arial" w:cs="Arial"/>
          <w:sz w:val="22"/>
          <w:szCs w:val="22"/>
        </w:rPr>
        <w:t xml:space="preserve">each, </w:t>
      </w:r>
      <w:r w:rsidR="009D01B7" w:rsidRPr="0036751A">
        <w:rPr>
          <w:rFonts w:ascii="Arial" w:hAnsi="Arial" w:cs="Arial"/>
          <w:b/>
          <w:bCs/>
          <w:color w:val="B79E38"/>
          <w:sz w:val="22"/>
          <w:szCs w:val="22"/>
        </w:rPr>
        <w:t>E</w:t>
      </w:r>
      <w:r w:rsidR="009D01B7" w:rsidRPr="0036751A">
        <w:rPr>
          <w:rFonts w:ascii="Arial" w:hAnsi="Arial" w:cs="Arial"/>
          <w:sz w:val="22"/>
          <w:szCs w:val="22"/>
        </w:rPr>
        <w:t xml:space="preserve">ffectiveness, </w:t>
      </w:r>
      <w:r w:rsidR="009D01B7" w:rsidRPr="0036751A">
        <w:rPr>
          <w:rFonts w:ascii="Arial" w:hAnsi="Arial" w:cs="Arial"/>
          <w:b/>
          <w:bCs/>
          <w:color w:val="B79E38"/>
          <w:sz w:val="22"/>
          <w:szCs w:val="22"/>
        </w:rPr>
        <w:t>A</w:t>
      </w:r>
      <w:r w:rsidR="009D01B7" w:rsidRPr="0036751A">
        <w:rPr>
          <w:rFonts w:ascii="Arial" w:hAnsi="Arial" w:cs="Arial"/>
          <w:sz w:val="22"/>
          <w:szCs w:val="22"/>
        </w:rPr>
        <w:t xml:space="preserve">doption, Implementation, and </w:t>
      </w:r>
      <w:r w:rsidR="009D01B7" w:rsidRPr="0036751A">
        <w:rPr>
          <w:rFonts w:ascii="Arial" w:hAnsi="Arial" w:cs="Arial"/>
          <w:b/>
          <w:bCs/>
          <w:color w:val="B79E38"/>
          <w:sz w:val="22"/>
          <w:szCs w:val="22"/>
        </w:rPr>
        <w:t>M</w:t>
      </w:r>
      <w:r w:rsidR="009D01B7" w:rsidRPr="0036751A">
        <w:rPr>
          <w:rFonts w:ascii="Arial" w:hAnsi="Arial" w:cs="Arial"/>
          <w:sz w:val="22"/>
          <w:szCs w:val="22"/>
        </w:rPr>
        <w:t xml:space="preserve">aintenance (including trends and future directions, using the RE-AIM framework.  Future listening sessions with clinicians, representatives from telemedicine companies, and patients are planned for later this year. </w:t>
      </w:r>
    </w:p>
    <w:p w14:paraId="792F0560" w14:textId="38E9D7AD" w:rsidR="0036751A" w:rsidRPr="0036751A" w:rsidRDefault="00EA41B8" w:rsidP="008751F5">
      <w:pPr>
        <w:pStyle w:val="body"/>
        <w:spacing w:after="120" w:line="240" w:lineRule="auto"/>
        <w:rPr>
          <w:rFonts w:ascii="Arial" w:hAnsi="Arial" w:cs="Arial"/>
          <w:i/>
          <w:iCs/>
          <w:sz w:val="22"/>
          <w:szCs w:val="22"/>
          <w:shd w:val="clear" w:color="auto" w:fill="FFFFFF"/>
        </w:rPr>
      </w:pPr>
      <w:r w:rsidRPr="0036751A">
        <w:rPr>
          <w:rFonts w:ascii="Arial" w:hAnsi="Arial" w:cs="Arial"/>
          <w:i/>
          <w:iCs/>
          <w:sz w:val="22"/>
          <w:szCs w:val="22"/>
          <w:shd w:val="clear" w:color="auto" w:fill="FFFFFF"/>
        </w:rPr>
        <w:t>This project was funded through a Patient-Centered Outcomes Research Institute (PCORI) Engagement Award Initiative (EAIN-00177).  The content does not necessarily represent the views of PCORI, its Board of Governors, or Methodology Committee.</w:t>
      </w:r>
    </w:p>
    <w:p w14:paraId="42364AEF" w14:textId="7E03E68E" w:rsidR="0036751A" w:rsidRDefault="0036751A" w:rsidP="0036751A">
      <w:pPr>
        <w:pStyle w:val="body"/>
        <w:spacing w:line="240" w:lineRule="auto"/>
        <w:jc w:val="center"/>
        <w:rPr>
          <w:rFonts w:ascii="Arial" w:hAnsi="Arial" w:cs="Arial"/>
          <w:b/>
          <w:bCs/>
          <w:color w:val="353535"/>
          <w:sz w:val="20"/>
          <w:szCs w:val="20"/>
        </w:rPr>
      </w:pPr>
      <w:r w:rsidRPr="0036751A">
        <w:rPr>
          <w:rFonts w:ascii="Arial" w:hAnsi="Arial" w:cs="Arial"/>
          <w:b/>
          <w:bCs/>
          <w:noProof/>
          <w:color w:val="B79E38"/>
          <w:sz w:val="44"/>
          <w:szCs w:val="44"/>
        </w:rPr>
        <mc:AlternateContent>
          <mc:Choice Requires="wps">
            <w:drawing>
              <wp:anchor distT="0" distB="0" distL="114300" distR="114300" simplePos="0" relativeHeight="251675648" behindDoc="0" locked="0" layoutInCell="1" allowOverlap="1" wp14:anchorId="6F4A8749" wp14:editId="5646ED6B">
                <wp:simplePos x="0" y="0"/>
                <wp:positionH relativeFrom="margin">
                  <wp:posOffset>-914400</wp:posOffset>
                </wp:positionH>
                <wp:positionV relativeFrom="paragraph">
                  <wp:posOffset>262255</wp:posOffset>
                </wp:positionV>
                <wp:extent cx="7924800" cy="642620"/>
                <wp:effectExtent l="0" t="0" r="12700" b="17780"/>
                <wp:wrapSquare wrapText="bothSides"/>
                <wp:docPr id="6" name="Text Box 6"/>
                <wp:cNvGraphicFramePr/>
                <a:graphic xmlns:a="http://schemas.openxmlformats.org/drawingml/2006/main">
                  <a:graphicData uri="http://schemas.microsoft.com/office/word/2010/wordprocessingShape">
                    <wps:wsp>
                      <wps:cNvSpPr txBox="1"/>
                      <wps:spPr>
                        <a:xfrm>
                          <a:off x="0" y="0"/>
                          <a:ext cx="7924800" cy="642620"/>
                        </a:xfrm>
                        <a:prstGeom prst="rect">
                          <a:avLst/>
                        </a:prstGeom>
                        <a:solidFill>
                          <a:srgbClr val="29325E"/>
                        </a:solidFill>
                        <a:ln w="6350">
                          <a:solidFill>
                            <a:prstClr val="black"/>
                          </a:solidFill>
                        </a:ln>
                      </wps:spPr>
                      <wps:txbx>
                        <w:txbxContent>
                          <w:p w14:paraId="22894554" w14:textId="2D04E849" w:rsidR="00363746" w:rsidRPr="009A1284" w:rsidRDefault="00363746" w:rsidP="00063CA9">
                            <w:pPr>
                              <w:suppressAutoHyphens/>
                              <w:autoSpaceDE w:val="0"/>
                              <w:autoSpaceDN w:val="0"/>
                              <w:adjustRightInd w:val="0"/>
                              <w:ind w:left="2160"/>
                              <w:textAlignment w:val="center"/>
                              <w:rPr>
                                <w:rFonts w:ascii="Arial" w:hAnsi="Arial" w:cs="Arial"/>
                                <w:sz w:val="18"/>
                                <w:szCs w:val="18"/>
                              </w:rPr>
                            </w:pPr>
                            <w:r w:rsidRPr="009A1284">
                              <w:rPr>
                                <w:rFonts w:ascii="Arial" w:hAnsi="Arial" w:cs="Arial"/>
                                <w:b/>
                                <w:bCs/>
                                <w:sz w:val="18"/>
                                <w:szCs w:val="18"/>
                              </w:rPr>
                              <w:t>Authors</w:t>
                            </w:r>
                          </w:p>
                          <w:p w14:paraId="53F1F385" w14:textId="4E1A346E" w:rsidR="009A1284" w:rsidRDefault="00363746" w:rsidP="00063CA9">
                            <w:pPr>
                              <w:tabs>
                                <w:tab w:val="left" w:pos="3420"/>
                                <w:tab w:val="left" w:pos="3870"/>
                              </w:tabs>
                              <w:suppressAutoHyphens/>
                              <w:autoSpaceDE w:val="0"/>
                              <w:autoSpaceDN w:val="0"/>
                              <w:adjustRightInd w:val="0"/>
                              <w:ind w:left="2160"/>
                              <w:textAlignment w:val="center"/>
                              <w:rPr>
                                <w:rFonts w:ascii="Arial" w:hAnsi="Arial" w:cs="Arial"/>
                                <w:sz w:val="18"/>
                                <w:szCs w:val="18"/>
                              </w:rPr>
                            </w:pPr>
                            <w:r w:rsidRPr="009A1284">
                              <w:rPr>
                                <w:rFonts w:ascii="Arial" w:hAnsi="Arial" w:cs="Arial"/>
                                <w:sz w:val="18"/>
                                <w:szCs w:val="18"/>
                              </w:rPr>
                              <w:t>Mark L Graber, MD FACP</w:t>
                            </w:r>
                            <w:r w:rsidR="009A1284">
                              <w:rPr>
                                <w:rFonts w:ascii="Arial" w:hAnsi="Arial" w:cs="Arial"/>
                                <w:sz w:val="18"/>
                                <w:szCs w:val="18"/>
                              </w:rPr>
                              <w:tab/>
                            </w:r>
                            <w:r w:rsidR="00763091">
                              <w:rPr>
                                <w:rFonts w:ascii="Arial" w:hAnsi="Arial" w:cs="Arial"/>
                                <w:sz w:val="18"/>
                                <w:szCs w:val="18"/>
                              </w:rPr>
                              <w:tab/>
                            </w:r>
                            <w:r w:rsidR="00763091">
                              <w:rPr>
                                <w:rFonts w:ascii="Arial" w:hAnsi="Arial" w:cs="Arial"/>
                                <w:sz w:val="18"/>
                                <w:szCs w:val="18"/>
                              </w:rPr>
                              <w:tab/>
                            </w:r>
                            <w:r w:rsidR="00063CA9">
                              <w:rPr>
                                <w:rFonts w:ascii="Arial" w:hAnsi="Arial" w:cs="Arial"/>
                                <w:sz w:val="18"/>
                                <w:szCs w:val="18"/>
                              </w:rPr>
                              <w:tab/>
                            </w:r>
                            <w:r w:rsidR="009A1284" w:rsidRPr="009A1284">
                              <w:rPr>
                                <w:rFonts w:ascii="Arial" w:hAnsi="Arial" w:cs="Arial"/>
                                <w:sz w:val="18"/>
                                <w:szCs w:val="18"/>
                              </w:rPr>
                              <w:t>Suz Schrandt, JD</w:t>
                            </w:r>
                          </w:p>
                          <w:p w14:paraId="568FFBF8" w14:textId="42189D34" w:rsidR="00153D64" w:rsidRPr="009A1284" w:rsidRDefault="00363746" w:rsidP="00063CA9">
                            <w:pPr>
                              <w:tabs>
                                <w:tab w:val="left" w:pos="3420"/>
                                <w:tab w:val="left" w:pos="3870"/>
                              </w:tabs>
                              <w:suppressAutoHyphens/>
                              <w:autoSpaceDE w:val="0"/>
                              <w:autoSpaceDN w:val="0"/>
                              <w:adjustRightInd w:val="0"/>
                              <w:ind w:left="2160"/>
                              <w:textAlignment w:val="center"/>
                              <w:rPr>
                                <w:rFonts w:ascii="Arial" w:hAnsi="Arial" w:cs="Arial"/>
                                <w:sz w:val="18"/>
                                <w:szCs w:val="18"/>
                              </w:rPr>
                            </w:pPr>
                            <w:r w:rsidRPr="009A1284">
                              <w:rPr>
                                <w:rFonts w:ascii="Arial" w:hAnsi="Arial" w:cs="Arial"/>
                                <w:sz w:val="18"/>
                                <w:szCs w:val="18"/>
                              </w:rPr>
                              <w:t>SIDM Founder and President Emeritus</w:t>
                            </w:r>
                            <w:r w:rsidR="00153D64" w:rsidRPr="009A1284">
                              <w:rPr>
                                <w:rFonts w:ascii="Arial" w:hAnsi="Arial" w:cs="Arial"/>
                                <w:sz w:val="18"/>
                                <w:szCs w:val="18"/>
                              </w:rPr>
                              <w:tab/>
                            </w:r>
                            <w:r w:rsidR="00763091">
                              <w:rPr>
                                <w:rFonts w:ascii="Arial" w:hAnsi="Arial" w:cs="Arial"/>
                                <w:sz w:val="18"/>
                                <w:szCs w:val="18"/>
                              </w:rPr>
                              <w:tab/>
                            </w:r>
                            <w:r w:rsidR="00153D64" w:rsidRPr="009A1284">
                              <w:rPr>
                                <w:rFonts w:ascii="Arial" w:hAnsi="Arial" w:cs="Arial"/>
                                <w:sz w:val="18"/>
                                <w:szCs w:val="18"/>
                              </w:rPr>
                              <w:t xml:space="preserve">SIDM </w:t>
                            </w:r>
                            <w:r w:rsidR="003262A0">
                              <w:rPr>
                                <w:rFonts w:ascii="Arial" w:hAnsi="Arial" w:cs="Arial"/>
                                <w:sz w:val="18"/>
                                <w:szCs w:val="18"/>
                              </w:rPr>
                              <w:t xml:space="preserve">Senior </w:t>
                            </w:r>
                            <w:r w:rsidR="00153D64" w:rsidRPr="009A1284">
                              <w:rPr>
                                <w:rFonts w:ascii="Arial" w:hAnsi="Arial" w:cs="Arial"/>
                                <w:sz w:val="18"/>
                                <w:szCs w:val="18"/>
                              </w:rPr>
                              <w:t>Patient Engagement Advisor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A8749" id="Text Box 6" o:spid="_x0000_s1028" type="#_x0000_t202" style="position:absolute;left:0;text-align:left;margin-left:-1in;margin-top:20.65pt;width:624pt;height:50.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LOWUwIAAKsEAAAOAAAAZHJzL2Uyb0RvYy54bWysVMtu2zAQvBfoPxC817IVx0mMyIGb1EUB&#10;IwmQFDnTFGULpbgsSVtyvz5D+pFXT0UvFLm7HO7O7Oryqms02yjnazIFH/T6nCkjqazNsuA/H2df&#10;zjnzQZhSaDKq4Fvl+dXk86fL1o5VTivSpXIMIMaPW1vwVQh2nGVerlQjfI+sMnBW5BoRcHTLrHSi&#10;BXqjs7zfH2UtudI6ksp7WG92Tj5J+FWlZLirKq8C0wVHbiGtLq2LuGaTSzFeOmFXtdynIf4hi0bU&#10;Bo8eoW5EEGzt6g9QTS0deapCT1KTUVXVUqUaUM2g/66ah5WwKtUCcrw90uT/H6y83dw7VpcFH3Fm&#10;RAOJHlUX2Ffq2Ciy01o/RtCDRVjoYIbKB7uHMRbdVa6JX5TD4AfP2yO3EUzCeHaRD8/7cEn4RsN8&#10;lCfys5fb1vnwXVHD4qbgDtolSsVm7gMyQeghJD7mSdflrNY6Hdxyca0d2wjonF+c5KffYpK48iZM&#10;G9bi9ZPTfkJ+44vYR4iFFvLXRwTgaQPYSMqu+LgL3aJLFOYHYhZUbsGXo12/eStnNeDnwod74dBg&#10;4AFDE+6wVJqQE+13nK3I/fmbPcZDd3g5a9GwBfe/18IpzvQPg464GAyHscPTYXh6Bn6Ze+1ZvPaY&#10;dXNN4GqA8bQybWN80Idt5ah5wmxN46twCSPxdsFlcIfDddgNEqZTquk0haGrrQhz82BlBI/aRGIf&#10;uyfh7F7ZgJ64pUNzi/E7gXex8aah6TpQVSf1I9M7XvcCYCKSwvvpjSP3+pyiXv4xk2cAAAD//wMA&#10;UEsDBBQABgAIAAAAIQAM4kit5AAAABEBAAAPAAAAZHJzL2Rvd25yZXYueG1sTI/LTsMwEEX3SPyD&#10;NUjsWsfFoCqNUxUQK4TUlrawdOMhiRrbIXba8PdMVrAZzfPOPdlysA07Yxdq7xSIaQIMXeFN7UoF&#10;u/eXyRxYiNoZ3XiHCn4wwDK/vsp0avzFbfC8jSUjERdSraCKsU05D0WFVoepb9HR7Mt3Vkcqu5Kb&#10;Tl9I3DZ8liQP3Ora0YdKt/hUYXHa9lbB99tj+7r+7OX8tN59yBUeuNhbpW5vhucFhdUCWMQh/l3A&#10;yED+ISdjR987E1ijYCKkJKKoQIo7YOOGSMbOkTI5uweeZ/w/Sf4LAAD//wMAUEsBAi0AFAAGAAgA&#10;AAAhALaDOJL+AAAA4QEAABMAAAAAAAAAAAAAAAAAAAAAAFtDb250ZW50X1R5cGVzXS54bWxQSwEC&#10;LQAUAAYACAAAACEAOP0h/9YAAACUAQAACwAAAAAAAAAAAAAAAAAvAQAAX3JlbHMvLnJlbHNQSwEC&#10;LQAUAAYACAAAACEAAoizllMCAACrBAAADgAAAAAAAAAAAAAAAAAuAgAAZHJzL2Uyb0RvYy54bWxQ&#10;SwECLQAUAAYACAAAACEADOJIreQAAAARAQAADwAAAAAAAAAAAAAAAACtBAAAZHJzL2Rvd25yZXYu&#10;eG1sUEsFBgAAAAAEAAQA8wAAAL4FAAAAAA==&#10;" fillcolor="#29325e" strokeweight=".5pt">
                <v:textbox>
                  <w:txbxContent>
                    <w:p w14:paraId="22894554" w14:textId="2D04E849" w:rsidR="00363746" w:rsidRPr="009A1284" w:rsidRDefault="00363746" w:rsidP="00063CA9">
                      <w:pPr>
                        <w:suppressAutoHyphens/>
                        <w:autoSpaceDE w:val="0"/>
                        <w:autoSpaceDN w:val="0"/>
                        <w:adjustRightInd w:val="0"/>
                        <w:ind w:left="2160"/>
                        <w:textAlignment w:val="center"/>
                        <w:rPr>
                          <w:rFonts w:ascii="Arial" w:hAnsi="Arial" w:cs="Arial"/>
                          <w:sz w:val="18"/>
                          <w:szCs w:val="18"/>
                        </w:rPr>
                      </w:pPr>
                      <w:r w:rsidRPr="009A1284">
                        <w:rPr>
                          <w:rFonts w:ascii="Arial" w:hAnsi="Arial" w:cs="Arial"/>
                          <w:b/>
                          <w:bCs/>
                          <w:sz w:val="18"/>
                          <w:szCs w:val="18"/>
                        </w:rPr>
                        <w:t>Authors</w:t>
                      </w:r>
                    </w:p>
                    <w:p w14:paraId="53F1F385" w14:textId="4E1A346E" w:rsidR="009A1284" w:rsidRDefault="00363746" w:rsidP="00063CA9">
                      <w:pPr>
                        <w:tabs>
                          <w:tab w:val="left" w:pos="3420"/>
                          <w:tab w:val="left" w:pos="3870"/>
                        </w:tabs>
                        <w:suppressAutoHyphens/>
                        <w:autoSpaceDE w:val="0"/>
                        <w:autoSpaceDN w:val="0"/>
                        <w:adjustRightInd w:val="0"/>
                        <w:ind w:left="2160"/>
                        <w:textAlignment w:val="center"/>
                        <w:rPr>
                          <w:rFonts w:ascii="Arial" w:hAnsi="Arial" w:cs="Arial"/>
                          <w:sz w:val="18"/>
                          <w:szCs w:val="18"/>
                        </w:rPr>
                      </w:pPr>
                      <w:r w:rsidRPr="009A1284">
                        <w:rPr>
                          <w:rFonts w:ascii="Arial" w:hAnsi="Arial" w:cs="Arial"/>
                          <w:sz w:val="18"/>
                          <w:szCs w:val="18"/>
                        </w:rPr>
                        <w:t>Mark L Graber, MD FACP</w:t>
                      </w:r>
                      <w:r w:rsidR="009A1284">
                        <w:rPr>
                          <w:rFonts w:ascii="Arial" w:hAnsi="Arial" w:cs="Arial"/>
                          <w:sz w:val="18"/>
                          <w:szCs w:val="18"/>
                        </w:rPr>
                        <w:tab/>
                      </w:r>
                      <w:r w:rsidR="00763091">
                        <w:rPr>
                          <w:rFonts w:ascii="Arial" w:hAnsi="Arial" w:cs="Arial"/>
                          <w:sz w:val="18"/>
                          <w:szCs w:val="18"/>
                        </w:rPr>
                        <w:tab/>
                      </w:r>
                      <w:r w:rsidR="00763091">
                        <w:rPr>
                          <w:rFonts w:ascii="Arial" w:hAnsi="Arial" w:cs="Arial"/>
                          <w:sz w:val="18"/>
                          <w:szCs w:val="18"/>
                        </w:rPr>
                        <w:tab/>
                      </w:r>
                      <w:r w:rsidR="00063CA9">
                        <w:rPr>
                          <w:rFonts w:ascii="Arial" w:hAnsi="Arial" w:cs="Arial"/>
                          <w:sz w:val="18"/>
                          <w:szCs w:val="18"/>
                        </w:rPr>
                        <w:tab/>
                      </w:r>
                      <w:r w:rsidR="009A1284" w:rsidRPr="009A1284">
                        <w:rPr>
                          <w:rFonts w:ascii="Arial" w:hAnsi="Arial" w:cs="Arial"/>
                          <w:sz w:val="18"/>
                          <w:szCs w:val="18"/>
                        </w:rPr>
                        <w:t>Suz Schrandt, JD</w:t>
                      </w:r>
                    </w:p>
                    <w:p w14:paraId="568FFBF8" w14:textId="42189D34" w:rsidR="00153D64" w:rsidRPr="009A1284" w:rsidRDefault="00363746" w:rsidP="00063CA9">
                      <w:pPr>
                        <w:tabs>
                          <w:tab w:val="left" w:pos="3420"/>
                          <w:tab w:val="left" w:pos="3870"/>
                        </w:tabs>
                        <w:suppressAutoHyphens/>
                        <w:autoSpaceDE w:val="0"/>
                        <w:autoSpaceDN w:val="0"/>
                        <w:adjustRightInd w:val="0"/>
                        <w:ind w:left="2160"/>
                        <w:textAlignment w:val="center"/>
                        <w:rPr>
                          <w:rFonts w:ascii="Arial" w:hAnsi="Arial" w:cs="Arial"/>
                          <w:sz w:val="18"/>
                          <w:szCs w:val="18"/>
                        </w:rPr>
                      </w:pPr>
                      <w:r w:rsidRPr="009A1284">
                        <w:rPr>
                          <w:rFonts w:ascii="Arial" w:hAnsi="Arial" w:cs="Arial"/>
                          <w:sz w:val="18"/>
                          <w:szCs w:val="18"/>
                        </w:rPr>
                        <w:t>SIDM Founder and President Emeritus</w:t>
                      </w:r>
                      <w:r w:rsidR="00153D64" w:rsidRPr="009A1284">
                        <w:rPr>
                          <w:rFonts w:ascii="Arial" w:hAnsi="Arial" w:cs="Arial"/>
                          <w:sz w:val="18"/>
                          <w:szCs w:val="18"/>
                        </w:rPr>
                        <w:tab/>
                      </w:r>
                      <w:r w:rsidR="00763091">
                        <w:rPr>
                          <w:rFonts w:ascii="Arial" w:hAnsi="Arial" w:cs="Arial"/>
                          <w:sz w:val="18"/>
                          <w:szCs w:val="18"/>
                        </w:rPr>
                        <w:tab/>
                      </w:r>
                      <w:r w:rsidR="00153D64" w:rsidRPr="009A1284">
                        <w:rPr>
                          <w:rFonts w:ascii="Arial" w:hAnsi="Arial" w:cs="Arial"/>
                          <w:sz w:val="18"/>
                          <w:szCs w:val="18"/>
                        </w:rPr>
                        <w:t xml:space="preserve">SIDM </w:t>
                      </w:r>
                      <w:r w:rsidR="003262A0">
                        <w:rPr>
                          <w:rFonts w:ascii="Arial" w:hAnsi="Arial" w:cs="Arial"/>
                          <w:sz w:val="18"/>
                          <w:szCs w:val="18"/>
                        </w:rPr>
                        <w:t xml:space="preserve">Senior </w:t>
                      </w:r>
                      <w:r w:rsidR="00153D64" w:rsidRPr="009A1284">
                        <w:rPr>
                          <w:rFonts w:ascii="Arial" w:hAnsi="Arial" w:cs="Arial"/>
                          <w:sz w:val="18"/>
                          <w:szCs w:val="18"/>
                        </w:rPr>
                        <w:t>Patient Engagement Advisor</w:t>
                      </w:r>
                    </w:p>
                  </w:txbxContent>
                </v:textbox>
                <w10:wrap type="square" anchorx="margin"/>
              </v:shape>
            </w:pict>
          </mc:Fallback>
        </mc:AlternateContent>
      </w:r>
    </w:p>
    <w:p w14:paraId="759ECA81" w14:textId="042303DD" w:rsidR="000B6853" w:rsidRPr="00763091" w:rsidRDefault="000B6853" w:rsidP="0036751A">
      <w:pPr>
        <w:pStyle w:val="body"/>
        <w:spacing w:line="240" w:lineRule="auto"/>
        <w:jc w:val="center"/>
        <w:rPr>
          <w:rFonts w:ascii="Calibri" w:hAnsi="Calibri" w:cs="Calibri"/>
          <w:i/>
          <w:iCs/>
          <w:sz w:val="19"/>
          <w:szCs w:val="19"/>
          <w:shd w:val="clear" w:color="auto" w:fill="FFFFFF"/>
        </w:rPr>
      </w:pPr>
      <w:r w:rsidRPr="00A0514C">
        <w:rPr>
          <w:rFonts w:ascii="Arial" w:hAnsi="Arial" w:cs="Arial"/>
          <w:b/>
          <w:bCs/>
          <w:color w:val="353535"/>
          <w:sz w:val="20"/>
          <w:szCs w:val="20"/>
        </w:rPr>
        <w:t>© 2021</w:t>
      </w:r>
      <w:r>
        <w:rPr>
          <w:rFonts w:ascii="Arial" w:hAnsi="Arial" w:cs="Arial"/>
          <w:b/>
          <w:bCs/>
          <w:color w:val="353535"/>
          <w:sz w:val="20"/>
          <w:szCs w:val="20"/>
        </w:rPr>
        <w:t xml:space="preserve"> Society to Improve Diagnosis in Medicine</w:t>
      </w:r>
    </w:p>
    <w:p w14:paraId="3C6D5835" w14:textId="36AD92BA" w:rsidR="0036751A" w:rsidRDefault="0036751A" w:rsidP="00063CA9">
      <w:pPr>
        <w:suppressAutoHyphens/>
        <w:autoSpaceDE w:val="0"/>
        <w:autoSpaceDN w:val="0"/>
        <w:adjustRightInd w:val="0"/>
        <w:spacing w:after="90"/>
        <w:textAlignment w:val="center"/>
        <w:rPr>
          <w:rFonts w:ascii="Arial" w:hAnsi="Arial" w:cs="Arial"/>
          <w:b/>
          <w:bCs/>
          <w:color w:val="000063"/>
          <w:sz w:val="22"/>
          <w:szCs w:val="22"/>
        </w:rPr>
      </w:pPr>
    </w:p>
    <w:p w14:paraId="3BE2B7B9" w14:textId="59BC170D" w:rsidR="00063CA9" w:rsidRPr="00063CA9" w:rsidRDefault="00063CA9" w:rsidP="00063CA9">
      <w:pPr>
        <w:suppressAutoHyphens/>
        <w:autoSpaceDE w:val="0"/>
        <w:autoSpaceDN w:val="0"/>
        <w:adjustRightInd w:val="0"/>
        <w:spacing w:after="90"/>
        <w:textAlignment w:val="center"/>
        <w:rPr>
          <w:rFonts w:ascii="Arial" w:hAnsi="Arial" w:cs="Arial"/>
          <w:b/>
          <w:bCs/>
          <w:color w:val="000063"/>
          <w:sz w:val="20"/>
          <w:szCs w:val="20"/>
        </w:rPr>
      </w:pPr>
    </w:p>
    <w:p w14:paraId="567CA9A3" w14:textId="3C607B55" w:rsidR="00A65A09" w:rsidRPr="00063CA9" w:rsidRDefault="00A65A09" w:rsidP="00EA41B8">
      <w:pPr>
        <w:suppressAutoHyphens/>
        <w:autoSpaceDE w:val="0"/>
        <w:autoSpaceDN w:val="0"/>
        <w:adjustRightInd w:val="0"/>
        <w:spacing w:after="90"/>
        <w:ind w:hanging="360"/>
        <w:textAlignment w:val="center"/>
        <w:rPr>
          <w:rFonts w:ascii="Arial" w:hAnsi="Arial" w:cs="Arial"/>
          <w:b/>
          <w:bCs/>
          <w:color w:val="000063"/>
          <w:sz w:val="20"/>
          <w:szCs w:val="20"/>
        </w:rPr>
      </w:pPr>
      <w:r w:rsidRPr="00063CA9">
        <w:rPr>
          <w:rFonts w:ascii="Arial" w:hAnsi="Arial" w:cs="Arial"/>
          <w:b/>
          <w:bCs/>
          <w:color w:val="000063"/>
          <w:sz w:val="20"/>
          <w:szCs w:val="20"/>
        </w:rPr>
        <w:t xml:space="preserve">REFERENCES </w:t>
      </w:r>
    </w:p>
    <w:p w14:paraId="2A45A67F" w14:textId="0B6853B8" w:rsidR="00063CA9" w:rsidRPr="00063CA9" w:rsidRDefault="007646B5" w:rsidP="00063CA9">
      <w:pPr>
        <w:pStyle w:val="EndNoteBibliography"/>
        <w:spacing w:line="276" w:lineRule="auto"/>
        <w:rPr>
          <w:rFonts w:ascii="Arial" w:hAnsi="Arial" w:cs="Arial"/>
          <w:noProof/>
          <w:sz w:val="15"/>
          <w:szCs w:val="15"/>
        </w:rPr>
      </w:pPr>
      <w:r w:rsidRPr="00063CA9">
        <w:rPr>
          <w:rFonts w:ascii="Arial" w:hAnsi="Arial" w:cs="Arial"/>
          <w:b/>
          <w:bCs/>
          <w:noProof/>
          <w:color w:val="B79E38"/>
          <w:sz w:val="16"/>
          <w:szCs w:val="16"/>
        </w:rPr>
        <mc:AlternateContent>
          <mc:Choice Requires="wps">
            <w:drawing>
              <wp:anchor distT="0" distB="0" distL="114300" distR="114300" simplePos="0" relativeHeight="251689984" behindDoc="0" locked="0" layoutInCell="1" allowOverlap="1" wp14:anchorId="7FC74675" wp14:editId="2F08C3C1">
                <wp:simplePos x="0" y="0"/>
                <wp:positionH relativeFrom="column">
                  <wp:posOffset>4400550</wp:posOffset>
                </wp:positionH>
                <wp:positionV relativeFrom="page">
                  <wp:posOffset>1339215</wp:posOffset>
                </wp:positionV>
                <wp:extent cx="2156460" cy="3371850"/>
                <wp:effectExtent l="0" t="0" r="1270" b="6350"/>
                <wp:wrapSquare wrapText="bothSides"/>
                <wp:docPr id="1" name="Text Box 1"/>
                <wp:cNvGraphicFramePr/>
                <a:graphic xmlns:a="http://schemas.openxmlformats.org/drawingml/2006/main">
                  <a:graphicData uri="http://schemas.microsoft.com/office/word/2010/wordprocessingShape">
                    <wps:wsp>
                      <wps:cNvSpPr txBox="1"/>
                      <wps:spPr>
                        <a:xfrm>
                          <a:off x="0" y="0"/>
                          <a:ext cx="2156460" cy="3371850"/>
                        </a:xfrm>
                        <a:prstGeom prst="rect">
                          <a:avLst/>
                        </a:prstGeom>
                        <a:solidFill>
                          <a:srgbClr val="E9DEAD"/>
                        </a:solidFill>
                        <a:ln w="6350">
                          <a:noFill/>
                        </a:ln>
                      </wps:spPr>
                      <wps:txbx>
                        <w:txbxContent>
                          <w:p w14:paraId="748192F4" w14:textId="77777777" w:rsidR="00063CA9" w:rsidRDefault="00063CA9" w:rsidP="00063CA9">
                            <w:pPr>
                              <w:contextualSpacing/>
                              <w:jc w:val="center"/>
                              <w:textAlignment w:val="baseline"/>
                              <w:rPr>
                                <w:rFonts w:ascii="Arial" w:hAnsi="Arial" w:cs="Arial"/>
                                <w:b/>
                                <w:bCs/>
                                <w:color w:val="000000"/>
                                <w:sz w:val="16"/>
                                <w:szCs w:val="16"/>
                              </w:rPr>
                            </w:pPr>
                            <w:r w:rsidRPr="00EA41B8">
                              <w:rPr>
                                <w:rFonts w:ascii="Arial" w:hAnsi="Arial" w:cs="Arial"/>
                                <w:b/>
                                <w:bCs/>
                                <w:color w:val="000000"/>
                                <w:sz w:val="16"/>
                                <w:szCs w:val="16"/>
                              </w:rPr>
                              <w:t>Discussion Participants</w:t>
                            </w:r>
                          </w:p>
                          <w:p w14:paraId="29EF9AB2" w14:textId="77777777" w:rsidR="00063CA9" w:rsidRPr="00EA41B8" w:rsidRDefault="00063CA9" w:rsidP="00063CA9">
                            <w:pPr>
                              <w:contextualSpacing/>
                              <w:jc w:val="center"/>
                              <w:textAlignment w:val="baseline"/>
                              <w:rPr>
                                <w:rFonts w:ascii="Arial" w:hAnsi="Arial" w:cs="Arial"/>
                                <w:color w:val="000000"/>
                                <w:sz w:val="16"/>
                                <w:szCs w:val="16"/>
                              </w:rPr>
                            </w:pPr>
                            <w:r w:rsidRPr="00EA41B8">
                              <w:rPr>
                                <w:rFonts w:ascii="Arial" w:hAnsi="Arial" w:cs="Arial"/>
                                <w:b/>
                                <w:bCs/>
                                <w:color w:val="000000"/>
                                <w:sz w:val="16"/>
                                <w:szCs w:val="16"/>
                              </w:rPr>
                              <w:t xml:space="preserve"> </w:t>
                            </w:r>
                            <w:r>
                              <w:rPr>
                                <w:rFonts w:ascii="Arial" w:hAnsi="Arial" w:cs="Arial"/>
                                <w:b/>
                                <w:bCs/>
                                <w:color w:val="000000"/>
                                <w:sz w:val="16"/>
                                <w:szCs w:val="16"/>
                              </w:rPr>
                              <w:t>(</w:t>
                            </w:r>
                            <w:r w:rsidRPr="00EA41B8">
                              <w:rPr>
                                <w:rFonts w:ascii="Arial" w:hAnsi="Arial" w:cs="Arial"/>
                                <w:color w:val="000000"/>
                                <w:sz w:val="16"/>
                                <w:szCs w:val="16"/>
                              </w:rPr>
                              <w:t>affiliations for informational purposes only</w:t>
                            </w:r>
                            <w:r>
                              <w:rPr>
                                <w:rFonts w:ascii="Arial" w:hAnsi="Arial" w:cs="Arial"/>
                                <w:color w:val="000000"/>
                                <w:sz w:val="16"/>
                                <w:szCs w:val="16"/>
                              </w:rPr>
                              <w:t xml:space="preserve">; </w:t>
                            </w:r>
                            <w:r w:rsidRPr="003262A0">
                              <w:rPr>
                                <w:rFonts w:ascii="Arial" w:hAnsi="Arial" w:cs="Arial"/>
                                <w:color w:val="000000"/>
                                <w:sz w:val="16"/>
                                <w:szCs w:val="16"/>
                              </w:rPr>
                              <w:t>the views provided reflect those of the individuals involved and not necessarily those of their organizations</w:t>
                            </w:r>
                            <w:r w:rsidRPr="00EA41B8">
                              <w:rPr>
                                <w:rFonts w:ascii="Arial" w:hAnsi="Arial" w:cs="Arial"/>
                                <w:color w:val="000000"/>
                                <w:sz w:val="16"/>
                                <w:szCs w:val="16"/>
                              </w:rPr>
                              <w:t>)</w:t>
                            </w:r>
                          </w:p>
                          <w:p w14:paraId="680E70DC" w14:textId="77777777" w:rsidR="00063CA9" w:rsidRPr="00EA41B8" w:rsidRDefault="00063CA9" w:rsidP="00063CA9">
                            <w:pPr>
                              <w:contextualSpacing/>
                              <w:textAlignment w:val="baseline"/>
                              <w:rPr>
                                <w:rFonts w:ascii="Arial" w:hAnsi="Arial" w:cs="Arial"/>
                                <w:color w:val="000000"/>
                                <w:sz w:val="16"/>
                                <w:szCs w:val="16"/>
                              </w:rPr>
                            </w:pPr>
                          </w:p>
                          <w:p w14:paraId="53D24F16" w14:textId="77777777" w:rsidR="007646B5" w:rsidRPr="007646B5" w:rsidRDefault="007646B5" w:rsidP="007646B5">
                            <w:pPr>
                              <w:contextualSpacing/>
                              <w:textAlignment w:val="baseline"/>
                              <w:rPr>
                                <w:rFonts w:ascii="Arial" w:hAnsi="Arial" w:cs="Arial"/>
                                <w:b/>
                                <w:bCs/>
                                <w:color w:val="000000"/>
                                <w:sz w:val="15"/>
                                <w:szCs w:val="15"/>
                              </w:rPr>
                            </w:pPr>
                            <w:r w:rsidRPr="007646B5">
                              <w:rPr>
                                <w:rFonts w:ascii="Arial" w:hAnsi="Arial" w:cs="Arial"/>
                                <w:b/>
                                <w:bCs/>
                                <w:color w:val="000000"/>
                                <w:sz w:val="15"/>
                                <w:szCs w:val="15"/>
                              </w:rPr>
                              <w:t xml:space="preserve">Eran </w:t>
                            </w:r>
                            <w:r w:rsidRPr="007646B5">
                              <w:rPr>
                                <w:rFonts w:ascii="Arial" w:hAnsi="Arial" w:cs="Arial"/>
                                <w:b/>
                                <w:bCs/>
                                <w:color w:val="000000"/>
                                <w:sz w:val="15"/>
                                <w:szCs w:val="15"/>
                              </w:rPr>
                              <w:t>KabaKov, PT</w:t>
                            </w:r>
                          </w:p>
                          <w:p w14:paraId="4630E98A" w14:textId="77777777" w:rsidR="007646B5" w:rsidRPr="007646B5" w:rsidRDefault="007646B5" w:rsidP="007646B5">
                            <w:pPr>
                              <w:ind w:left="720"/>
                              <w:contextualSpacing/>
                              <w:textAlignment w:val="baseline"/>
                              <w:rPr>
                                <w:rFonts w:ascii="Arial" w:hAnsi="Arial" w:cs="Arial"/>
                                <w:color w:val="000000"/>
                                <w:sz w:val="15"/>
                                <w:szCs w:val="15"/>
                              </w:rPr>
                            </w:pPr>
                            <w:r w:rsidRPr="007646B5">
                              <w:rPr>
                                <w:rFonts w:ascii="Arial" w:hAnsi="Arial" w:cs="Arial"/>
                                <w:color w:val="000000"/>
                                <w:sz w:val="15"/>
                                <w:szCs w:val="15"/>
                              </w:rPr>
                              <w:t>CEO, Docola</w:t>
                            </w:r>
                          </w:p>
                          <w:p w14:paraId="3A856970" w14:textId="77777777" w:rsidR="00063CA9" w:rsidRDefault="00063CA9" w:rsidP="00063CA9">
                            <w:pPr>
                              <w:contextualSpacing/>
                              <w:textAlignment w:val="baseline"/>
                              <w:rPr>
                                <w:rFonts w:ascii="Arial" w:hAnsi="Arial" w:cs="Arial"/>
                                <w:color w:val="000000"/>
                                <w:sz w:val="15"/>
                                <w:szCs w:val="15"/>
                              </w:rPr>
                            </w:pPr>
                          </w:p>
                          <w:p w14:paraId="1D83560F" w14:textId="77777777" w:rsidR="007646B5" w:rsidRPr="007646B5" w:rsidRDefault="007646B5" w:rsidP="007646B5">
                            <w:pPr>
                              <w:contextualSpacing/>
                              <w:textAlignment w:val="baseline"/>
                              <w:rPr>
                                <w:rFonts w:ascii="Arial" w:hAnsi="Arial" w:cs="Arial"/>
                                <w:b/>
                                <w:bCs/>
                                <w:color w:val="000000"/>
                                <w:sz w:val="15"/>
                                <w:szCs w:val="15"/>
                              </w:rPr>
                            </w:pPr>
                            <w:r w:rsidRPr="007646B5">
                              <w:rPr>
                                <w:rFonts w:ascii="Arial" w:hAnsi="Arial" w:cs="Arial"/>
                                <w:b/>
                                <w:bCs/>
                                <w:color w:val="000000"/>
                                <w:sz w:val="15"/>
                                <w:szCs w:val="15"/>
                              </w:rPr>
                              <w:t>Karen Patrusky, MD</w:t>
                            </w:r>
                          </w:p>
                          <w:p w14:paraId="528931E6" w14:textId="77777777" w:rsidR="007646B5" w:rsidRPr="007646B5" w:rsidRDefault="007646B5" w:rsidP="007646B5">
                            <w:pPr>
                              <w:contextualSpacing/>
                              <w:textAlignment w:val="baseline"/>
                              <w:rPr>
                                <w:rFonts w:ascii="Arial" w:hAnsi="Arial" w:cs="Arial"/>
                                <w:color w:val="000000"/>
                                <w:sz w:val="15"/>
                                <w:szCs w:val="15"/>
                              </w:rPr>
                            </w:pPr>
                            <w:r w:rsidRPr="007646B5">
                              <w:rPr>
                                <w:rFonts w:ascii="Arial" w:hAnsi="Arial" w:cs="Arial"/>
                                <w:color w:val="000000"/>
                                <w:sz w:val="15"/>
                                <w:szCs w:val="15"/>
                              </w:rPr>
                              <w:t>Founder, Verbena</w:t>
                            </w:r>
                          </w:p>
                          <w:p w14:paraId="73E60D16" w14:textId="77777777" w:rsidR="00063CA9" w:rsidRPr="00EA41B8" w:rsidRDefault="00063CA9" w:rsidP="00063CA9">
                            <w:pPr>
                              <w:contextualSpacing/>
                              <w:textAlignment w:val="baseline"/>
                              <w:rPr>
                                <w:rFonts w:ascii="Arial" w:hAnsi="Arial" w:cs="Arial"/>
                                <w:color w:val="000000"/>
                                <w:sz w:val="15"/>
                                <w:szCs w:val="15"/>
                              </w:rPr>
                            </w:pPr>
                          </w:p>
                          <w:p w14:paraId="64913E23" w14:textId="77777777" w:rsidR="007646B5" w:rsidRPr="007646B5" w:rsidRDefault="007646B5" w:rsidP="007646B5">
                            <w:pPr>
                              <w:contextualSpacing/>
                              <w:textAlignment w:val="baseline"/>
                              <w:rPr>
                                <w:rFonts w:ascii="Arial" w:hAnsi="Arial" w:cs="Arial"/>
                                <w:b/>
                                <w:bCs/>
                                <w:color w:val="000000"/>
                                <w:sz w:val="15"/>
                                <w:szCs w:val="15"/>
                              </w:rPr>
                            </w:pPr>
                            <w:r w:rsidRPr="007646B5">
                              <w:rPr>
                                <w:rFonts w:ascii="Arial" w:hAnsi="Arial" w:cs="Arial"/>
                                <w:b/>
                                <w:bCs/>
                                <w:color w:val="000000"/>
                                <w:sz w:val="15"/>
                                <w:szCs w:val="15"/>
                              </w:rPr>
                              <w:t>Bani Sarma, MD </w:t>
                            </w:r>
                          </w:p>
                          <w:p w14:paraId="3309BFAC" w14:textId="77777777" w:rsidR="007646B5" w:rsidRPr="007646B5" w:rsidRDefault="007646B5" w:rsidP="007646B5">
                            <w:pPr>
                              <w:contextualSpacing/>
                              <w:textAlignment w:val="baseline"/>
                              <w:rPr>
                                <w:rFonts w:ascii="Arial" w:hAnsi="Arial" w:cs="Arial"/>
                                <w:color w:val="000000"/>
                                <w:sz w:val="15"/>
                                <w:szCs w:val="15"/>
                              </w:rPr>
                            </w:pPr>
                            <w:r w:rsidRPr="007646B5">
                              <w:rPr>
                                <w:rFonts w:ascii="Arial" w:hAnsi="Arial" w:cs="Arial"/>
                                <w:color w:val="000000"/>
                                <w:sz w:val="15"/>
                                <w:szCs w:val="15"/>
                              </w:rPr>
                              <w:t>Managing Partner &amp; OB/GYN at Delaware Valley OB/GYN and Infertility Group</w:t>
                            </w:r>
                          </w:p>
                          <w:p w14:paraId="180B0619" w14:textId="77777777" w:rsidR="007646B5" w:rsidRPr="007646B5" w:rsidRDefault="007646B5" w:rsidP="007646B5">
                            <w:pPr>
                              <w:contextualSpacing/>
                              <w:textAlignment w:val="baseline"/>
                              <w:rPr>
                                <w:rFonts w:ascii="Arial" w:hAnsi="Arial" w:cs="Arial"/>
                                <w:color w:val="000000"/>
                                <w:sz w:val="15"/>
                                <w:szCs w:val="15"/>
                              </w:rPr>
                            </w:pPr>
                            <w:r w:rsidRPr="007646B5">
                              <w:rPr>
                                <w:rFonts w:ascii="Arial" w:hAnsi="Arial" w:cs="Arial"/>
                                <w:color w:val="000000"/>
                                <w:sz w:val="15"/>
                                <w:szCs w:val="15"/>
                              </w:rPr>
                              <w:t>University of Pennsylvania MHCI Candidate</w:t>
                            </w:r>
                          </w:p>
                          <w:p w14:paraId="12790AEB" w14:textId="77777777" w:rsidR="00063CA9" w:rsidRPr="00EA41B8" w:rsidRDefault="00063CA9" w:rsidP="00063CA9">
                            <w:pPr>
                              <w:contextualSpacing/>
                              <w:textAlignment w:val="baseline"/>
                              <w:rPr>
                                <w:rFonts w:ascii="Arial" w:hAnsi="Arial" w:cs="Arial"/>
                                <w:color w:val="000000"/>
                                <w:sz w:val="15"/>
                                <w:szCs w:val="15"/>
                              </w:rPr>
                            </w:pPr>
                          </w:p>
                          <w:p w14:paraId="3C12C53D" w14:textId="77777777" w:rsidR="007646B5" w:rsidRPr="007646B5" w:rsidRDefault="007646B5" w:rsidP="007646B5">
                            <w:pPr>
                              <w:contextualSpacing/>
                              <w:textAlignment w:val="baseline"/>
                              <w:rPr>
                                <w:rFonts w:ascii="Arial" w:hAnsi="Arial" w:cs="Arial"/>
                                <w:b/>
                                <w:bCs/>
                                <w:color w:val="000000"/>
                                <w:sz w:val="15"/>
                                <w:szCs w:val="15"/>
                              </w:rPr>
                            </w:pPr>
                            <w:r w:rsidRPr="007646B5">
                              <w:rPr>
                                <w:rFonts w:ascii="Arial" w:hAnsi="Arial" w:cs="Arial"/>
                                <w:b/>
                                <w:bCs/>
                                <w:color w:val="000000"/>
                                <w:sz w:val="15"/>
                                <w:szCs w:val="15"/>
                              </w:rPr>
                              <w:t>Brigitta Mueller, MD, MHCM, MSJ, CPPS, CPHQ, FISQua, FAAP</w:t>
                            </w:r>
                          </w:p>
                          <w:p w14:paraId="3725827D" w14:textId="77777777" w:rsidR="007646B5" w:rsidRPr="007646B5" w:rsidRDefault="007646B5" w:rsidP="007646B5">
                            <w:pPr>
                              <w:contextualSpacing/>
                              <w:textAlignment w:val="baseline"/>
                              <w:rPr>
                                <w:rFonts w:ascii="Arial" w:hAnsi="Arial" w:cs="Arial"/>
                                <w:color w:val="000000"/>
                                <w:sz w:val="15"/>
                                <w:szCs w:val="15"/>
                              </w:rPr>
                            </w:pPr>
                            <w:r w:rsidRPr="007646B5">
                              <w:rPr>
                                <w:rFonts w:ascii="Arial" w:hAnsi="Arial" w:cs="Arial"/>
                                <w:color w:val="000000"/>
                                <w:sz w:val="15"/>
                                <w:szCs w:val="15"/>
                              </w:rPr>
                              <w:t>Executive Director, Patient Safety, Risk, and Quality </w:t>
                            </w:r>
                          </w:p>
                          <w:p w14:paraId="350BBA45" w14:textId="77777777" w:rsidR="007646B5" w:rsidRPr="007646B5" w:rsidRDefault="007646B5" w:rsidP="007646B5">
                            <w:pPr>
                              <w:contextualSpacing/>
                              <w:textAlignment w:val="baseline"/>
                              <w:rPr>
                                <w:rFonts w:ascii="Arial" w:hAnsi="Arial" w:cs="Arial"/>
                                <w:color w:val="000000"/>
                                <w:sz w:val="15"/>
                                <w:szCs w:val="15"/>
                              </w:rPr>
                            </w:pPr>
                            <w:r w:rsidRPr="007646B5">
                              <w:rPr>
                                <w:rFonts w:ascii="Arial" w:hAnsi="Arial" w:cs="Arial"/>
                                <w:color w:val="000000"/>
                                <w:sz w:val="15"/>
                                <w:szCs w:val="15"/>
                              </w:rPr>
                              <w:t>ECRI</w:t>
                            </w:r>
                          </w:p>
                          <w:p w14:paraId="3FC30B78" w14:textId="77777777" w:rsidR="00063CA9" w:rsidRPr="00EA41B8" w:rsidRDefault="00063CA9" w:rsidP="00063CA9">
                            <w:pPr>
                              <w:contextualSpacing/>
                              <w:textAlignment w:val="baseline"/>
                              <w:rPr>
                                <w:rFonts w:ascii="Arial" w:hAnsi="Arial" w:cs="Arial"/>
                                <w:color w:val="000000"/>
                                <w:sz w:val="15"/>
                                <w:szCs w:val="15"/>
                              </w:rPr>
                            </w:pPr>
                          </w:p>
                          <w:p w14:paraId="5110DC73" w14:textId="77777777" w:rsidR="007646B5" w:rsidRPr="007646B5" w:rsidRDefault="007646B5" w:rsidP="007646B5">
                            <w:pPr>
                              <w:contextualSpacing/>
                              <w:textAlignment w:val="baseline"/>
                              <w:rPr>
                                <w:rFonts w:ascii="Arial" w:hAnsi="Arial" w:cs="Arial"/>
                                <w:b/>
                                <w:bCs/>
                                <w:color w:val="000000"/>
                                <w:sz w:val="15"/>
                                <w:szCs w:val="15"/>
                              </w:rPr>
                            </w:pPr>
                            <w:r w:rsidRPr="007646B5">
                              <w:rPr>
                                <w:rFonts w:ascii="Arial" w:hAnsi="Arial" w:cs="Arial"/>
                                <w:b/>
                                <w:bCs/>
                                <w:color w:val="000000"/>
                                <w:sz w:val="15"/>
                                <w:szCs w:val="15"/>
                              </w:rPr>
                              <w:t>Patricia Giuffrida, MSN, RN, CPHIMS</w:t>
                            </w:r>
                          </w:p>
                          <w:p w14:paraId="0EE60D15" w14:textId="77777777" w:rsidR="007646B5" w:rsidRPr="007646B5" w:rsidRDefault="007646B5" w:rsidP="007646B5">
                            <w:pPr>
                              <w:contextualSpacing/>
                              <w:textAlignment w:val="baseline"/>
                              <w:rPr>
                                <w:rFonts w:ascii="Arial" w:hAnsi="Arial" w:cs="Arial"/>
                                <w:color w:val="000000"/>
                                <w:sz w:val="15"/>
                                <w:szCs w:val="15"/>
                              </w:rPr>
                            </w:pPr>
                            <w:r w:rsidRPr="007646B5">
                              <w:rPr>
                                <w:rFonts w:ascii="Arial" w:hAnsi="Arial" w:cs="Arial"/>
                                <w:color w:val="000000"/>
                                <w:sz w:val="15"/>
                                <w:szCs w:val="15"/>
                              </w:rPr>
                              <w:t>Patient Safety Analyst and HIT Liaison</w:t>
                            </w:r>
                          </w:p>
                          <w:p w14:paraId="2A90A849" w14:textId="77777777" w:rsidR="007646B5" w:rsidRPr="007646B5" w:rsidRDefault="007646B5" w:rsidP="007646B5">
                            <w:pPr>
                              <w:contextualSpacing/>
                              <w:textAlignment w:val="baseline"/>
                              <w:rPr>
                                <w:rFonts w:ascii="Arial" w:hAnsi="Arial" w:cs="Arial"/>
                                <w:color w:val="000000"/>
                                <w:sz w:val="15"/>
                                <w:szCs w:val="15"/>
                              </w:rPr>
                            </w:pPr>
                            <w:r w:rsidRPr="007646B5">
                              <w:rPr>
                                <w:rFonts w:ascii="Arial" w:hAnsi="Arial" w:cs="Arial"/>
                                <w:color w:val="000000"/>
                                <w:sz w:val="15"/>
                                <w:szCs w:val="15"/>
                              </w:rPr>
                              <w:t>ECRI</w:t>
                            </w:r>
                          </w:p>
                          <w:p w14:paraId="4D81F460" w14:textId="77777777" w:rsidR="00063CA9" w:rsidRPr="00EA41B8" w:rsidRDefault="00063CA9" w:rsidP="00063CA9">
                            <w:pPr>
                              <w:contextualSpacing/>
                              <w:textAlignment w:val="baseline"/>
                              <w:rPr>
                                <w:rFonts w:ascii="Arial" w:hAnsi="Arial" w:cs="Arial"/>
                                <w:color w:val="000000"/>
                                <w:sz w:val="15"/>
                                <w:szCs w:val="15"/>
                              </w:rPr>
                            </w:pPr>
                          </w:p>
                          <w:p w14:paraId="79A7A0D2" w14:textId="77777777" w:rsidR="007646B5" w:rsidRPr="007646B5" w:rsidRDefault="007646B5" w:rsidP="007646B5">
                            <w:pPr>
                              <w:contextualSpacing/>
                              <w:textAlignment w:val="baseline"/>
                              <w:rPr>
                                <w:rFonts w:ascii="Arial" w:hAnsi="Arial" w:cs="Arial"/>
                                <w:b/>
                                <w:bCs/>
                                <w:color w:val="000000"/>
                                <w:sz w:val="15"/>
                                <w:szCs w:val="15"/>
                              </w:rPr>
                            </w:pPr>
                            <w:r w:rsidRPr="007646B5">
                              <w:rPr>
                                <w:rFonts w:ascii="Arial" w:hAnsi="Arial" w:cs="Arial"/>
                                <w:b/>
                                <w:bCs/>
                                <w:color w:val="000000"/>
                                <w:sz w:val="15"/>
                                <w:szCs w:val="15"/>
                              </w:rPr>
                              <w:t>Angela Stevens, RN BSN </w:t>
                            </w:r>
                          </w:p>
                          <w:p w14:paraId="2ED186BC" w14:textId="77777777" w:rsidR="007646B5" w:rsidRPr="007646B5" w:rsidRDefault="007646B5" w:rsidP="007646B5">
                            <w:pPr>
                              <w:contextualSpacing/>
                              <w:textAlignment w:val="baseline"/>
                              <w:rPr>
                                <w:rFonts w:ascii="Arial" w:hAnsi="Arial" w:cs="Arial"/>
                                <w:color w:val="000000"/>
                                <w:sz w:val="15"/>
                                <w:szCs w:val="15"/>
                              </w:rPr>
                            </w:pPr>
                            <w:r w:rsidRPr="007646B5">
                              <w:rPr>
                                <w:rFonts w:ascii="Arial" w:hAnsi="Arial" w:cs="Arial"/>
                                <w:color w:val="000000"/>
                                <w:sz w:val="15"/>
                                <w:szCs w:val="15"/>
                              </w:rPr>
                              <w:t>Founder, Health Logx</w:t>
                            </w:r>
                          </w:p>
                          <w:p w14:paraId="70FCF4A6" w14:textId="77777777" w:rsidR="00063CA9" w:rsidRPr="00EA41B8" w:rsidRDefault="00063CA9" w:rsidP="00063CA9">
                            <w:pPr>
                              <w:contextualSpacing/>
                              <w:textAlignment w:val="baseline"/>
                              <w:rPr>
                                <w:rFonts w:ascii="Arial" w:hAnsi="Arial" w:cs="Arial"/>
                                <w:color w:val="000000"/>
                                <w:sz w:val="15"/>
                                <w:szCs w:val="15"/>
                              </w:rPr>
                            </w:pPr>
                          </w:p>
                          <w:p w14:paraId="79B5EF83" w14:textId="77777777" w:rsidR="00063CA9" w:rsidRPr="00EA41B8" w:rsidRDefault="00063CA9" w:rsidP="00063CA9">
                            <w:pPr>
                              <w:contextualSpacing/>
                              <w:textAlignment w:val="baseline"/>
                              <w:rPr>
                                <w:rFonts w:ascii="Arial" w:hAnsi="Arial" w:cs="Arial"/>
                                <w:color w:val="00000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C74675" id="Text Box 1" o:spid="_x0000_s1029" type="#_x0000_t202" style="position:absolute;margin-left:346.5pt;margin-top:105.45pt;width:169.8pt;height:26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5gsSAIAAIIEAAAOAAAAZHJzL2Uyb0RvYy54bWysVMtu2zAQvBfoPxC8N/IrTmJEDtw4LgoE&#10;SYC4yJmmKFsAxWVJ2pL79R1StvNoT0Uv1HJ3uMudWer6pq012ynnKzI575/1OFNGUlGZdc5/LBdf&#10;LjnzQZhCaDIq53vl+c3086frxk7UgDakC+UYkhg/aWzONyHYSZZ5uVG18GdklUGwJFeLgK1bZ4UT&#10;DbLXOhv0euOsIVdYR1J5D++8C/Jpyl+WSobHsvQqMJ1z3C2k1aV1Fddsei0mayfsppKHa4h/uEUt&#10;KoOip1RzEQTbuuqPVHUlHXkqw5mkOqOyrKRKPaCbfu9DN88bYVXqBeR4e6LJ/7+08mH35FhVQDvO&#10;jKgh0VK1gX2llvUjO431E4CeLWChhTsiD34PZ2y6LV0dv2iHIQ6e9yduYzIJ56B/Ph6NEZKIDYcX&#10;/cvzxH72etw6H74pqlk0cu4gXuJU7O59QElAj5BYzZOuikWlddq49epWO7YTEPruan43m8db4sg7&#10;mDasyfl4iNrxlKF4vsNpA3jstusqWqFdtYmb4bHjFRV7EOGoGyRv5aLCZe+FD0/CYXLQIF5DeMRS&#10;akItOlicbcj9+ps/4iEoopw1mMSc+59b4RRn+ruB1Ff90SiObtqMzi8G2Li3kdXbiNnWtwQOICdu&#10;l8yID/polo7qFzyaWayKkDAStXMejuZt6N4HHp1Us1kCYVitCPfm2cqYOnIXpVi2L8LZg14BUj/Q&#10;cWbF5INsHbZjfbYNVFZJ08hzx+qBfgx60u3wKONLertPqNdfx/Q3AAAA//8DAFBLAwQUAAYACAAA&#10;ACEANgx2aecAAAARAQAADwAAAGRycy9kb3ducmV2LnhtbEyPwU7DMBBE70j8g7VI3KidFKUkjVOh&#10;VkhI0AOll97c2I0j7HWw3Tbl63FPcFlptLsz8+rFaA05KR96hxyyCQOisHWyx47D9vPl4QlIiAKl&#10;MA4Vh4sKsGhub2pRSXfGD3XaxI4kEwyV4KBjHCpKQ6uVFWHiBoVpd3Deipik76j04pzMraE5YwW1&#10;oseUoMWgllq1X5uj5WDwZzW7BPm+e/v2h6Vex9ferjm/vxtX8zSe50CiGuPfB1wZUn9oUrG9O6IM&#10;xHAoymkCihzyjJVArhdsmhdA9hxmj1kJtKnpf5LmFwAA//8DAFBLAQItABQABgAIAAAAIQC2gziS&#10;/gAAAOEBAAATAAAAAAAAAAAAAAAAAAAAAABbQ29udGVudF9UeXBlc10ueG1sUEsBAi0AFAAGAAgA&#10;AAAhADj9If/WAAAAlAEAAAsAAAAAAAAAAAAAAAAALwEAAF9yZWxzLy5yZWxzUEsBAi0AFAAGAAgA&#10;AAAhAKMfmCxIAgAAggQAAA4AAAAAAAAAAAAAAAAALgIAAGRycy9lMm9Eb2MueG1sUEsBAi0AFAAG&#10;AAgAAAAhADYMdmnnAAAAEQEAAA8AAAAAAAAAAAAAAAAAogQAAGRycy9kb3ducmV2LnhtbFBLBQYA&#10;AAAABAAEAPMAAAC2BQAAAAA=&#10;" fillcolor="#e9dead" stroked="f" strokeweight=".5pt">
                <v:textbox>
                  <w:txbxContent>
                    <w:p w14:paraId="748192F4" w14:textId="77777777" w:rsidR="00063CA9" w:rsidRDefault="00063CA9" w:rsidP="00063CA9">
                      <w:pPr>
                        <w:contextualSpacing/>
                        <w:jc w:val="center"/>
                        <w:textAlignment w:val="baseline"/>
                        <w:rPr>
                          <w:rFonts w:ascii="Arial" w:hAnsi="Arial" w:cs="Arial"/>
                          <w:b/>
                          <w:bCs/>
                          <w:color w:val="000000"/>
                          <w:sz w:val="16"/>
                          <w:szCs w:val="16"/>
                        </w:rPr>
                      </w:pPr>
                      <w:r w:rsidRPr="00EA41B8">
                        <w:rPr>
                          <w:rFonts w:ascii="Arial" w:hAnsi="Arial" w:cs="Arial"/>
                          <w:b/>
                          <w:bCs/>
                          <w:color w:val="000000"/>
                          <w:sz w:val="16"/>
                          <w:szCs w:val="16"/>
                        </w:rPr>
                        <w:t>Discussion Participants</w:t>
                      </w:r>
                    </w:p>
                    <w:p w14:paraId="29EF9AB2" w14:textId="77777777" w:rsidR="00063CA9" w:rsidRPr="00EA41B8" w:rsidRDefault="00063CA9" w:rsidP="00063CA9">
                      <w:pPr>
                        <w:contextualSpacing/>
                        <w:jc w:val="center"/>
                        <w:textAlignment w:val="baseline"/>
                        <w:rPr>
                          <w:rFonts w:ascii="Arial" w:hAnsi="Arial" w:cs="Arial"/>
                          <w:color w:val="000000"/>
                          <w:sz w:val="16"/>
                          <w:szCs w:val="16"/>
                        </w:rPr>
                      </w:pPr>
                      <w:r w:rsidRPr="00EA41B8">
                        <w:rPr>
                          <w:rFonts w:ascii="Arial" w:hAnsi="Arial" w:cs="Arial"/>
                          <w:b/>
                          <w:bCs/>
                          <w:color w:val="000000"/>
                          <w:sz w:val="16"/>
                          <w:szCs w:val="16"/>
                        </w:rPr>
                        <w:t xml:space="preserve"> </w:t>
                      </w:r>
                      <w:r>
                        <w:rPr>
                          <w:rFonts w:ascii="Arial" w:hAnsi="Arial" w:cs="Arial"/>
                          <w:b/>
                          <w:bCs/>
                          <w:color w:val="000000"/>
                          <w:sz w:val="16"/>
                          <w:szCs w:val="16"/>
                        </w:rPr>
                        <w:t>(</w:t>
                      </w:r>
                      <w:r w:rsidRPr="00EA41B8">
                        <w:rPr>
                          <w:rFonts w:ascii="Arial" w:hAnsi="Arial" w:cs="Arial"/>
                          <w:color w:val="000000"/>
                          <w:sz w:val="16"/>
                          <w:szCs w:val="16"/>
                        </w:rPr>
                        <w:t>affiliations for informational purposes only</w:t>
                      </w:r>
                      <w:r>
                        <w:rPr>
                          <w:rFonts w:ascii="Arial" w:hAnsi="Arial" w:cs="Arial"/>
                          <w:color w:val="000000"/>
                          <w:sz w:val="16"/>
                          <w:szCs w:val="16"/>
                        </w:rPr>
                        <w:t xml:space="preserve">; </w:t>
                      </w:r>
                      <w:r w:rsidRPr="003262A0">
                        <w:rPr>
                          <w:rFonts w:ascii="Arial" w:hAnsi="Arial" w:cs="Arial"/>
                          <w:color w:val="000000"/>
                          <w:sz w:val="16"/>
                          <w:szCs w:val="16"/>
                        </w:rPr>
                        <w:t>the views provided reflect those of the individuals involved and not necessarily those of their organizations</w:t>
                      </w:r>
                      <w:r w:rsidRPr="00EA41B8">
                        <w:rPr>
                          <w:rFonts w:ascii="Arial" w:hAnsi="Arial" w:cs="Arial"/>
                          <w:color w:val="000000"/>
                          <w:sz w:val="16"/>
                          <w:szCs w:val="16"/>
                        </w:rPr>
                        <w:t>)</w:t>
                      </w:r>
                    </w:p>
                    <w:p w14:paraId="680E70DC" w14:textId="77777777" w:rsidR="00063CA9" w:rsidRPr="00EA41B8" w:rsidRDefault="00063CA9" w:rsidP="00063CA9">
                      <w:pPr>
                        <w:contextualSpacing/>
                        <w:textAlignment w:val="baseline"/>
                        <w:rPr>
                          <w:rFonts w:ascii="Arial" w:hAnsi="Arial" w:cs="Arial"/>
                          <w:color w:val="000000"/>
                          <w:sz w:val="16"/>
                          <w:szCs w:val="16"/>
                        </w:rPr>
                      </w:pPr>
                    </w:p>
                    <w:p w14:paraId="53D24F16" w14:textId="77777777" w:rsidR="007646B5" w:rsidRPr="007646B5" w:rsidRDefault="007646B5" w:rsidP="007646B5">
                      <w:pPr>
                        <w:contextualSpacing/>
                        <w:textAlignment w:val="baseline"/>
                        <w:rPr>
                          <w:rFonts w:ascii="Arial" w:hAnsi="Arial" w:cs="Arial"/>
                          <w:b/>
                          <w:bCs/>
                          <w:color w:val="000000"/>
                          <w:sz w:val="15"/>
                          <w:szCs w:val="15"/>
                        </w:rPr>
                      </w:pPr>
                      <w:r w:rsidRPr="007646B5">
                        <w:rPr>
                          <w:rFonts w:ascii="Arial" w:hAnsi="Arial" w:cs="Arial"/>
                          <w:b/>
                          <w:bCs/>
                          <w:color w:val="000000"/>
                          <w:sz w:val="15"/>
                          <w:szCs w:val="15"/>
                        </w:rPr>
                        <w:t xml:space="preserve">Eran </w:t>
                      </w:r>
                      <w:proofErr w:type="spellStart"/>
                      <w:r w:rsidRPr="007646B5">
                        <w:rPr>
                          <w:rFonts w:ascii="Arial" w:hAnsi="Arial" w:cs="Arial"/>
                          <w:b/>
                          <w:bCs/>
                          <w:color w:val="000000"/>
                          <w:sz w:val="15"/>
                          <w:szCs w:val="15"/>
                        </w:rPr>
                        <w:t>KabaKov</w:t>
                      </w:r>
                      <w:proofErr w:type="spellEnd"/>
                      <w:r w:rsidRPr="007646B5">
                        <w:rPr>
                          <w:rFonts w:ascii="Arial" w:hAnsi="Arial" w:cs="Arial"/>
                          <w:b/>
                          <w:bCs/>
                          <w:color w:val="000000"/>
                          <w:sz w:val="15"/>
                          <w:szCs w:val="15"/>
                        </w:rPr>
                        <w:t>, PT</w:t>
                      </w:r>
                    </w:p>
                    <w:p w14:paraId="4630E98A" w14:textId="77777777" w:rsidR="007646B5" w:rsidRPr="007646B5" w:rsidRDefault="007646B5" w:rsidP="007646B5">
                      <w:pPr>
                        <w:ind w:left="720"/>
                        <w:contextualSpacing/>
                        <w:textAlignment w:val="baseline"/>
                        <w:rPr>
                          <w:rFonts w:ascii="Arial" w:hAnsi="Arial" w:cs="Arial"/>
                          <w:color w:val="000000"/>
                          <w:sz w:val="15"/>
                          <w:szCs w:val="15"/>
                        </w:rPr>
                      </w:pPr>
                      <w:r w:rsidRPr="007646B5">
                        <w:rPr>
                          <w:rFonts w:ascii="Arial" w:hAnsi="Arial" w:cs="Arial"/>
                          <w:color w:val="000000"/>
                          <w:sz w:val="15"/>
                          <w:szCs w:val="15"/>
                        </w:rPr>
                        <w:t xml:space="preserve">CEO, </w:t>
                      </w:r>
                      <w:proofErr w:type="spellStart"/>
                      <w:r w:rsidRPr="007646B5">
                        <w:rPr>
                          <w:rFonts w:ascii="Arial" w:hAnsi="Arial" w:cs="Arial"/>
                          <w:color w:val="000000"/>
                          <w:sz w:val="15"/>
                          <w:szCs w:val="15"/>
                        </w:rPr>
                        <w:t>Docola</w:t>
                      </w:r>
                      <w:proofErr w:type="spellEnd"/>
                    </w:p>
                    <w:p w14:paraId="3A856970" w14:textId="77777777" w:rsidR="00063CA9" w:rsidRDefault="00063CA9" w:rsidP="00063CA9">
                      <w:pPr>
                        <w:contextualSpacing/>
                        <w:textAlignment w:val="baseline"/>
                        <w:rPr>
                          <w:rFonts w:ascii="Arial" w:hAnsi="Arial" w:cs="Arial"/>
                          <w:color w:val="000000"/>
                          <w:sz w:val="15"/>
                          <w:szCs w:val="15"/>
                        </w:rPr>
                      </w:pPr>
                    </w:p>
                    <w:p w14:paraId="1D83560F" w14:textId="77777777" w:rsidR="007646B5" w:rsidRPr="007646B5" w:rsidRDefault="007646B5" w:rsidP="007646B5">
                      <w:pPr>
                        <w:contextualSpacing/>
                        <w:textAlignment w:val="baseline"/>
                        <w:rPr>
                          <w:rFonts w:ascii="Arial" w:hAnsi="Arial" w:cs="Arial"/>
                          <w:b/>
                          <w:bCs/>
                          <w:color w:val="000000"/>
                          <w:sz w:val="15"/>
                          <w:szCs w:val="15"/>
                        </w:rPr>
                      </w:pPr>
                      <w:r w:rsidRPr="007646B5">
                        <w:rPr>
                          <w:rFonts w:ascii="Arial" w:hAnsi="Arial" w:cs="Arial"/>
                          <w:b/>
                          <w:bCs/>
                          <w:color w:val="000000"/>
                          <w:sz w:val="15"/>
                          <w:szCs w:val="15"/>
                        </w:rPr>
                        <w:t xml:space="preserve">Karen </w:t>
                      </w:r>
                      <w:proofErr w:type="spellStart"/>
                      <w:r w:rsidRPr="007646B5">
                        <w:rPr>
                          <w:rFonts w:ascii="Arial" w:hAnsi="Arial" w:cs="Arial"/>
                          <w:b/>
                          <w:bCs/>
                          <w:color w:val="000000"/>
                          <w:sz w:val="15"/>
                          <w:szCs w:val="15"/>
                        </w:rPr>
                        <w:t>Patrusky</w:t>
                      </w:r>
                      <w:proofErr w:type="spellEnd"/>
                      <w:r w:rsidRPr="007646B5">
                        <w:rPr>
                          <w:rFonts w:ascii="Arial" w:hAnsi="Arial" w:cs="Arial"/>
                          <w:b/>
                          <w:bCs/>
                          <w:color w:val="000000"/>
                          <w:sz w:val="15"/>
                          <w:szCs w:val="15"/>
                        </w:rPr>
                        <w:t>, MD</w:t>
                      </w:r>
                    </w:p>
                    <w:p w14:paraId="528931E6" w14:textId="77777777" w:rsidR="007646B5" w:rsidRPr="007646B5" w:rsidRDefault="007646B5" w:rsidP="007646B5">
                      <w:pPr>
                        <w:contextualSpacing/>
                        <w:textAlignment w:val="baseline"/>
                        <w:rPr>
                          <w:rFonts w:ascii="Arial" w:hAnsi="Arial" w:cs="Arial"/>
                          <w:color w:val="000000"/>
                          <w:sz w:val="15"/>
                          <w:szCs w:val="15"/>
                        </w:rPr>
                      </w:pPr>
                      <w:r w:rsidRPr="007646B5">
                        <w:rPr>
                          <w:rFonts w:ascii="Arial" w:hAnsi="Arial" w:cs="Arial"/>
                          <w:color w:val="000000"/>
                          <w:sz w:val="15"/>
                          <w:szCs w:val="15"/>
                        </w:rPr>
                        <w:t>Founder, Verbena</w:t>
                      </w:r>
                    </w:p>
                    <w:p w14:paraId="73E60D16" w14:textId="77777777" w:rsidR="00063CA9" w:rsidRPr="00EA41B8" w:rsidRDefault="00063CA9" w:rsidP="00063CA9">
                      <w:pPr>
                        <w:contextualSpacing/>
                        <w:textAlignment w:val="baseline"/>
                        <w:rPr>
                          <w:rFonts w:ascii="Arial" w:hAnsi="Arial" w:cs="Arial"/>
                          <w:color w:val="000000"/>
                          <w:sz w:val="15"/>
                          <w:szCs w:val="15"/>
                        </w:rPr>
                      </w:pPr>
                    </w:p>
                    <w:p w14:paraId="64913E23" w14:textId="77777777" w:rsidR="007646B5" w:rsidRPr="007646B5" w:rsidRDefault="007646B5" w:rsidP="007646B5">
                      <w:pPr>
                        <w:contextualSpacing/>
                        <w:textAlignment w:val="baseline"/>
                        <w:rPr>
                          <w:rFonts w:ascii="Arial" w:hAnsi="Arial" w:cs="Arial"/>
                          <w:b/>
                          <w:bCs/>
                          <w:color w:val="000000"/>
                          <w:sz w:val="15"/>
                          <w:szCs w:val="15"/>
                        </w:rPr>
                      </w:pPr>
                      <w:r w:rsidRPr="007646B5">
                        <w:rPr>
                          <w:rFonts w:ascii="Arial" w:hAnsi="Arial" w:cs="Arial"/>
                          <w:b/>
                          <w:bCs/>
                          <w:color w:val="000000"/>
                          <w:sz w:val="15"/>
                          <w:szCs w:val="15"/>
                        </w:rPr>
                        <w:t xml:space="preserve">Bani </w:t>
                      </w:r>
                      <w:proofErr w:type="spellStart"/>
                      <w:r w:rsidRPr="007646B5">
                        <w:rPr>
                          <w:rFonts w:ascii="Arial" w:hAnsi="Arial" w:cs="Arial"/>
                          <w:b/>
                          <w:bCs/>
                          <w:color w:val="000000"/>
                          <w:sz w:val="15"/>
                          <w:szCs w:val="15"/>
                        </w:rPr>
                        <w:t>Sarma</w:t>
                      </w:r>
                      <w:proofErr w:type="spellEnd"/>
                      <w:r w:rsidRPr="007646B5">
                        <w:rPr>
                          <w:rFonts w:ascii="Arial" w:hAnsi="Arial" w:cs="Arial"/>
                          <w:b/>
                          <w:bCs/>
                          <w:color w:val="000000"/>
                          <w:sz w:val="15"/>
                          <w:szCs w:val="15"/>
                        </w:rPr>
                        <w:t>, MD </w:t>
                      </w:r>
                    </w:p>
                    <w:p w14:paraId="3309BFAC" w14:textId="77777777" w:rsidR="007646B5" w:rsidRPr="007646B5" w:rsidRDefault="007646B5" w:rsidP="007646B5">
                      <w:pPr>
                        <w:contextualSpacing/>
                        <w:textAlignment w:val="baseline"/>
                        <w:rPr>
                          <w:rFonts w:ascii="Arial" w:hAnsi="Arial" w:cs="Arial"/>
                          <w:color w:val="000000"/>
                          <w:sz w:val="15"/>
                          <w:szCs w:val="15"/>
                        </w:rPr>
                      </w:pPr>
                      <w:r w:rsidRPr="007646B5">
                        <w:rPr>
                          <w:rFonts w:ascii="Arial" w:hAnsi="Arial" w:cs="Arial"/>
                          <w:color w:val="000000"/>
                          <w:sz w:val="15"/>
                          <w:szCs w:val="15"/>
                        </w:rPr>
                        <w:t>Managing Partner &amp; OB/GYN at Delaware Valley OB/GYN and Infertility Group</w:t>
                      </w:r>
                    </w:p>
                    <w:p w14:paraId="180B0619" w14:textId="77777777" w:rsidR="007646B5" w:rsidRPr="007646B5" w:rsidRDefault="007646B5" w:rsidP="007646B5">
                      <w:pPr>
                        <w:contextualSpacing/>
                        <w:textAlignment w:val="baseline"/>
                        <w:rPr>
                          <w:rFonts w:ascii="Arial" w:hAnsi="Arial" w:cs="Arial"/>
                          <w:color w:val="000000"/>
                          <w:sz w:val="15"/>
                          <w:szCs w:val="15"/>
                        </w:rPr>
                      </w:pPr>
                      <w:r w:rsidRPr="007646B5">
                        <w:rPr>
                          <w:rFonts w:ascii="Arial" w:hAnsi="Arial" w:cs="Arial"/>
                          <w:color w:val="000000"/>
                          <w:sz w:val="15"/>
                          <w:szCs w:val="15"/>
                        </w:rPr>
                        <w:t>University of Pennsylvania MHCI Candidate</w:t>
                      </w:r>
                    </w:p>
                    <w:p w14:paraId="12790AEB" w14:textId="77777777" w:rsidR="00063CA9" w:rsidRPr="00EA41B8" w:rsidRDefault="00063CA9" w:rsidP="00063CA9">
                      <w:pPr>
                        <w:contextualSpacing/>
                        <w:textAlignment w:val="baseline"/>
                        <w:rPr>
                          <w:rFonts w:ascii="Arial" w:hAnsi="Arial" w:cs="Arial"/>
                          <w:color w:val="000000"/>
                          <w:sz w:val="15"/>
                          <w:szCs w:val="15"/>
                        </w:rPr>
                      </w:pPr>
                    </w:p>
                    <w:p w14:paraId="3C12C53D" w14:textId="77777777" w:rsidR="007646B5" w:rsidRPr="007646B5" w:rsidRDefault="007646B5" w:rsidP="007646B5">
                      <w:pPr>
                        <w:contextualSpacing/>
                        <w:textAlignment w:val="baseline"/>
                        <w:rPr>
                          <w:rFonts w:ascii="Arial" w:hAnsi="Arial" w:cs="Arial"/>
                          <w:b/>
                          <w:bCs/>
                          <w:color w:val="000000"/>
                          <w:sz w:val="15"/>
                          <w:szCs w:val="15"/>
                        </w:rPr>
                      </w:pPr>
                      <w:proofErr w:type="spellStart"/>
                      <w:r w:rsidRPr="007646B5">
                        <w:rPr>
                          <w:rFonts w:ascii="Arial" w:hAnsi="Arial" w:cs="Arial"/>
                          <w:b/>
                          <w:bCs/>
                          <w:color w:val="000000"/>
                          <w:sz w:val="15"/>
                          <w:szCs w:val="15"/>
                        </w:rPr>
                        <w:t>Brigitta</w:t>
                      </w:r>
                      <w:proofErr w:type="spellEnd"/>
                      <w:r w:rsidRPr="007646B5">
                        <w:rPr>
                          <w:rFonts w:ascii="Arial" w:hAnsi="Arial" w:cs="Arial"/>
                          <w:b/>
                          <w:bCs/>
                          <w:color w:val="000000"/>
                          <w:sz w:val="15"/>
                          <w:szCs w:val="15"/>
                        </w:rPr>
                        <w:t xml:space="preserve"> Mueller, MD, MHCM, MSJ, CPPS, CPHQ, </w:t>
                      </w:r>
                      <w:proofErr w:type="spellStart"/>
                      <w:r w:rsidRPr="007646B5">
                        <w:rPr>
                          <w:rFonts w:ascii="Arial" w:hAnsi="Arial" w:cs="Arial"/>
                          <w:b/>
                          <w:bCs/>
                          <w:color w:val="000000"/>
                          <w:sz w:val="15"/>
                          <w:szCs w:val="15"/>
                        </w:rPr>
                        <w:t>FISQua</w:t>
                      </w:r>
                      <w:proofErr w:type="spellEnd"/>
                      <w:r w:rsidRPr="007646B5">
                        <w:rPr>
                          <w:rFonts w:ascii="Arial" w:hAnsi="Arial" w:cs="Arial"/>
                          <w:b/>
                          <w:bCs/>
                          <w:color w:val="000000"/>
                          <w:sz w:val="15"/>
                          <w:szCs w:val="15"/>
                        </w:rPr>
                        <w:t>, FAAP</w:t>
                      </w:r>
                    </w:p>
                    <w:p w14:paraId="3725827D" w14:textId="77777777" w:rsidR="007646B5" w:rsidRPr="007646B5" w:rsidRDefault="007646B5" w:rsidP="007646B5">
                      <w:pPr>
                        <w:contextualSpacing/>
                        <w:textAlignment w:val="baseline"/>
                        <w:rPr>
                          <w:rFonts w:ascii="Arial" w:hAnsi="Arial" w:cs="Arial"/>
                          <w:color w:val="000000"/>
                          <w:sz w:val="15"/>
                          <w:szCs w:val="15"/>
                        </w:rPr>
                      </w:pPr>
                      <w:r w:rsidRPr="007646B5">
                        <w:rPr>
                          <w:rFonts w:ascii="Arial" w:hAnsi="Arial" w:cs="Arial"/>
                          <w:color w:val="000000"/>
                          <w:sz w:val="15"/>
                          <w:szCs w:val="15"/>
                        </w:rPr>
                        <w:t>Executive Director, Patient Safety, Risk, and Quality </w:t>
                      </w:r>
                    </w:p>
                    <w:p w14:paraId="350BBA45" w14:textId="77777777" w:rsidR="007646B5" w:rsidRPr="007646B5" w:rsidRDefault="007646B5" w:rsidP="007646B5">
                      <w:pPr>
                        <w:contextualSpacing/>
                        <w:textAlignment w:val="baseline"/>
                        <w:rPr>
                          <w:rFonts w:ascii="Arial" w:hAnsi="Arial" w:cs="Arial"/>
                          <w:color w:val="000000"/>
                          <w:sz w:val="15"/>
                          <w:szCs w:val="15"/>
                        </w:rPr>
                      </w:pPr>
                      <w:r w:rsidRPr="007646B5">
                        <w:rPr>
                          <w:rFonts w:ascii="Arial" w:hAnsi="Arial" w:cs="Arial"/>
                          <w:color w:val="000000"/>
                          <w:sz w:val="15"/>
                          <w:szCs w:val="15"/>
                        </w:rPr>
                        <w:t>ECRI</w:t>
                      </w:r>
                    </w:p>
                    <w:p w14:paraId="3FC30B78" w14:textId="77777777" w:rsidR="00063CA9" w:rsidRPr="00EA41B8" w:rsidRDefault="00063CA9" w:rsidP="00063CA9">
                      <w:pPr>
                        <w:contextualSpacing/>
                        <w:textAlignment w:val="baseline"/>
                        <w:rPr>
                          <w:rFonts w:ascii="Arial" w:hAnsi="Arial" w:cs="Arial"/>
                          <w:color w:val="000000"/>
                          <w:sz w:val="15"/>
                          <w:szCs w:val="15"/>
                        </w:rPr>
                      </w:pPr>
                    </w:p>
                    <w:p w14:paraId="5110DC73" w14:textId="77777777" w:rsidR="007646B5" w:rsidRPr="007646B5" w:rsidRDefault="007646B5" w:rsidP="007646B5">
                      <w:pPr>
                        <w:contextualSpacing/>
                        <w:textAlignment w:val="baseline"/>
                        <w:rPr>
                          <w:rFonts w:ascii="Arial" w:hAnsi="Arial" w:cs="Arial"/>
                          <w:b/>
                          <w:bCs/>
                          <w:color w:val="000000"/>
                          <w:sz w:val="15"/>
                          <w:szCs w:val="15"/>
                        </w:rPr>
                      </w:pPr>
                      <w:r w:rsidRPr="007646B5">
                        <w:rPr>
                          <w:rFonts w:ascii="Arial" w:hAnsi="Arial" w:cs="Arial"/>
                          <w:b/>
                          <w:bCs/>
                          <w:color w:val="000000"/>
                          <w:sz w:val="15"/>
                          <w:szCs w:val="15"/>
                        </w:rPr>
                        <w:t>Patricia Giuffrida, MSN, RN, CPHIMS</w:t>
                      </w:r>
                    </w:p>
                    <w:p w14:paraId="0EE60D15" w14:textId="77777777" w:rsidR="007646B5" w:rsidRPr="007646B5" w:rsidRDefault="007646B5" w:rsidP="007646B5">
                      <w:pPr>
                        <w:contextualSpacing/>
                        <w:textAlignment w:val="baseline"/>
                        <w:rPr>
                          <w:rFonts w:ascii="Arial" w:hAnsi="Arial" w:cs="Arial"/>
                          <w:color w:val="000000"/>
                          <w:sz w:val="15"/>
                          <w:szCs w:val="15"/>
                        </w:rPr>
                      </w:pPr>
                      <w:r w:rsidRPr="007646B5">
                        <w:rPr>
                          <w:rFonts w:ascii="Arial" w:hAnsi="Arial" w:cs="Arial"/>
                          <w:color w:val="000000"/>
                          <w:sz w:val="15"/>
                          <w:szCs w:val="15"/>
                        </w:rPr>
                        <w:t>Patient Safety Analyst and HIT Liaison</w:t>
                      </w:r>
                    </w:p>
                    <w:p w14:paraId="2A90A849" w14:textId="77777777" w:rsidR="007646B5" w:rsidRPr="007646B5" w:rsidRDefault="007646B5" w:rsidP="007646B5">
                      <w:pPr>
                        <w:contextualSpacing/>
                        <w:textAlignment w:val="baseline"/>
                        <w:rPr>
                          <w:rFonts w:ascii="Arial" w:hAnsi="Arial" w:cs="Arial"/>
                          <w:color w:val="000000"/>
                          <w:sz w:val="15"/>
                          <w:szCs w:val="15"/>
                        </w:rPr>
                      </w:pPr>
                      <w:r w:rsidRPr="007646B5">
                        <w:rPr>
                          <w:rFonts w:ascii="Arial" w:hAnsi="Arial" w:cs="Arial"/>
                          <w:color w:val="000000"/>
                          <w:sz w:val="15"/>
                          <w:szCs w:val="15"/>
                        </w:rPr>
                        <w:t>ECRI</w:t>
                      </w:r>
                    </w:p>
                    <w:p w14:paraId="4D81F460" w14:textId="77777777" w:rsidR="00063CA9" w:rsidRPr="00EA41B8" w:rsidRDefault="00063CA9" w:rsidP="00063CA9">
                      <w:pPr>
                        <w:contextualSpacing/>
                        <w:textAlignment w:val="baseline"/>
                        <w:rPr>
                          <w:rFonts w:ascii="Arial" w:hAnsi="Arial" w:cs="Arial"/>
                          <w:color w:val="000000"/>
                          <w:sz w:val="15"/>
                          <w:szCs w:val="15"/>
                        </w:rPr>
                      </w:pPr>
                    </w:p>
                    <w:p w14:paraId="79A7A0D2" w14:textId="77777777" w:rsidR="007646B5" w:rsidRPr="007646B5" w:rsidRDefault="007646B5" w:rsidP="007646B5">
                      <w:pPr>
                        <w:contextualSpacing/>
                        <w:textAlignment w:val="baseline"/>
                        <w:rPr>
                          <w:rFonts w:ascii="Arial" w:hAnsi="Arial" w:cs="Arial"/>
                          <w:b/>
                          <w:bCs/>
                          <w:color w:val="000000"/>
                          <w:sz w:val="15"/>
                          <w:szCs w:val="15"/>
                        </w:rPr>
                      </w:pPr>
                      <w:r w:rsidRPr="007646B5">
                        <w:rPr>
                          <w:rFonts w:ascii="Arial" w:hAnsi="Arial" w:cs="Arial"/>
                          <w:b/>
                          <w:bCs/>
                          <w:color w:val="000000"/>
                          <w:sz w:val="15"/>
                          <w:szCs w:val="15"/>
                        </w:rPr>
                        <w:t>Angela Stevens, RN BSN </w:t>
                      </w:r>
                    </w:p>
                    <w:p w14:paraId="2ED186BC" w14:textId="77777777" w:rsidR="007646B5" w:rsidRPr="007646B5" w:rsidRDefault="007646B5" w:rsidP="007646B5">
                      <w:pPr>
                        <w:contextualSpacing/>
                        <w:textAlignment w:val="baseline"/>
                        <w:rPr>
                          <w:rFonts w:ascii="Arial" w:hAnsi="Arial" w:cs="Arial"/>
                          <w:color w:val="000000"/>
                          <w:sz w:val="15"/>
                          <w:szCs w:val="15"/>
                        </w:rPr>
                      </w:pPr>
                      <w:r w:rsidRPr="007646B5">
                        <w:rPr>
                          <w:rFonts w:ascii="Arial" w:hAnsi="Arial" w:cs="Arial"/>
                          <w:color w:val="000000"/>
                          <w:sz w:val="15"/>
                          <w:szCs w:val="15"/>
                        </w:rPr>
                        <w:t xml:space="preserve">Founder, Health </w:t>
                      </w:r>
                      <w:proofErr w:type="spellStart"/>
                      <w:r w:rsidRPr="007646B5">
                        <w:rPr>
                          <w:rFonts w:ascii="Arial" w:hAnsi="Arial" w:cs="Arial"/>
                          <w:color w:val="000000"/>
                          <w:sz w:val="15"/>
                          <w:szCs w:val="15"/>
                        </w:rPr>
                        <w:t>Logx</w:t>
                      </w:r>
                      <w:proofErr w:type="spellEnd"/>
                    </w:p>
                    <w:p w14:paraId="70FCF4A6" w14:textId="77777777" w:rsidR="00063CA9" w:rsidRPr="00EA41B8" w:rsidRDefault="00063CA9" w:rsidP="00063CA9">
                      <w:pPr>
                        <w:contextualSpacing/>
                        <w:textAlignment w:val="baseline"/>
                        <w:rPr>
                          <w:rFonts w:ascii="Arial" w:hAnsi="Arial" w:cs="Arial"/>
                          <w:color w:val="000000"/>
                          <w:sz w:val="15"/>
                          <w:szCs w:val="15"/>
                        </w:rPr>
                      </w:pPr>
                    </w:p>
                    <w:p w14:paraId="79B5EF83" w14:textId="77777777" w:rsidR="00063CA9" w:rsidRPr="00EA41B8" w:rsidRDefault="00063CA9" w:rsidP="00063CA9">
                      <w:pPr>
                        <w:contextualSpacing/>
                        <w:textAlignment w:val="baseline"/>
                        <w:rPr>
                          <w:rFonts w:ascii="Arial" w:hAnsi="Arial" w:cs="Arial"/>
                          <w:color w:val="000000"/>
                          <w:sz w:val="15"/>
                          <w:szCs w:val="15"/>
                        </w:rPr>
                      </w:pPr>
                    </w:p>
                  </w:txbxContent>
                </v:textbox>
                <w10:wrap type="square" anchory="page"/>
              </v:shape>
            </w:pict>
          </mc:Fallback>
        </mc:AlternateContent>
      </w:r>
      <w:r w:rsidR="00A65A09" w:rsidRPr="00063CA9">
        <w:rPr>
          <w:rFonts w:ascii="Arial" w:hAnsi="Arial" w:cs="Arial"/>
          <w:noProof/>
          <w:sz w:val="13"/>
          <w:szCs w:val="13"/>
        </w:rPr>
        <w:fldChar w:fldCharType="begin"/>
      </w:r>
      <w:r w:rsidR="00A65A09" w:rsidRPr="00063CA9">
        <w:rPr>
          <w:rFonts w:ascii="Arial" w:hAnsi="Arial" w:cs="Arial"/>
          <w:noProof/>
          <w:sz w:val="13"/>
          <w:szCs w:val="13"/>
        </w:rPr>
        <w:instrText xml:space="preserve"> ADDIN EN.REFLIST </w:instrText>
      </w:r>
      <w:r w:rsidR="00A65A09" w:rsidRPr="00063CA9">
        <w:rPr>
          <w:rFonts w:ascii="Arial" w:hAnsi="Arial" w:cs="Arial"/>
          <w:noProof/>
          <w:sz w:val="13"/>
          <w:szCs w:val="13"/>
        </w:rPr>
        <w:fldChar w:fldCharType="separate"/>
      </w:r>
      <w:r w:rsidR="00063CA9" w:rsidRPr="00063CA9">
        <w:rPr>
          <w:rFonts w:ascii="Arial" w:hAnsi="Arial" w:cs="Arial"/>
          <w:sz w:val="15"/>
          <w:szCs w:val="15"/>
        </w:rPr>
        <w:fldChar w:fldCharType="begin"/>
      </w:r>
      <w:r w:rsidR="00063CA9" w:rsidRPr="00063CA9">
        <w:rPr>
          <w:rFonts w:ascii="Arial" w:hAnsi="Arial" w:cs="Arial"/>
          <w:sz w:val="15"/>
          <w:szCs w:val="15"/>
        </w:rPr>
        <w:instrText xml:space="preserve"> ADDIN EN.REFLIST </w:instrText>
      </w:r>
      <w:r w:rsidR="00063CA9" w:rsidRPr="00063CA9">
        <w:rPr>
          <w:rFonts w:ascii="Arial" w:hAnsi="Arial" w:cs="Arial"/>
          <w:sz w:val="15"/>
          <w:szCs w:val="15"/>
        </w:rPr>
        <w:fldChar w:fldCharType="separate"/>
      </w:r>
      <w:r w:rsidR="00063CA9" w:rsidRPr="00063CA9">
        <w:rPr>
          <w:rFonts w:ascii="Arial" w:hAnsi="Arial" w:cs="Arial"/>
          <w:noProof/>
          <w:sz w:val="15"/>
          <w:szCs w:val="15"/>
        </w:rPr>
        <w:t>1.</w:t>
      </w:r>
      <w:r w:rsidR="00063CA9" w:rsidRPr="00063CA9">
        <w:rPr>
          <w:rFonts w:ascii="Arial" w:hAnsi="Arial" w:cs="Arial"/>
          <w:noProof/>
          <w:sz w:val="15"/>
          <w:szCs w:val="15"/>
        </w:rPr>
        <w:tab/>
        <w:t>Marin A. Telemedicine takes center stage in the era of COVID-19. Science. 2020;</w:t>
      </w:r>
      <w:hyperlink r:id="rId13" w:history="1">
        <w:r w:rsidR="00063CA9" w:rsidRPr="00063CA9">
          <w:rPr>
            <w:rStyle w:val="Hyperlink"/>
            <w:rFonts w:ascii="Arial" w:hAnsi="Arial" w:cs="Arial"/>
            <w:noProof/>
            <w:sz w:val="15"/>
            <w:szCs w:val="15"/>
          </w:rPr>
          <w:t>https://www.sciencemag.org/features/2020/11/telemedicine-takes-center-stage-era-covid-19</w:t>
        </w:r>
      </w:hyperlink>
      <w:r w:rsidR="00063CA9" w:rsidRPr="00063CA9">
        <w:rPr>
          <w:rFonts w:ascii="Arial" w:hAnsi="Arial" w:cs="Arial"/>
          <w:noProof/>
          <w:sz w:val="15"/>
          <w:szCs w:val="15"/>
        </w:rPr>
        <w:t>.</w:t>
      </w:r>
    </w:p>
    <w:p w14:paraId="4D1112E7" w14:textId="30221B19" w:rsidR="00063CA9" w:rsidRPr="00063CA9" w:rsidRDefault="00063CA9" w:rsidP="00063CA9">
      <w:pPr>
        <w:pStyle w:val="EndNoteBibliography"/>
        <w:spacing w:line="276" w:lineRule="auto"/>
        <w:rPr>
          <w:rFonts w:ascii="Arial" w:hAnsi="Arial" w:cs="Arial"/>
          <w:noProof/>
          <w:sz w:val="15"/>
          <w:szCs w:val="15"/>
        </w:rPr>
      </w:pPr>
      <w:r w:rsidRPr="00063CA9">
        <w:rPr>
          <w:rFonts w:ascii="Arial" w:hAnsi="Arial" w:cs="Arial"/>
          <w:noProof/>
          <w:sz w:val="15"/>
          <w:szCs w:val="15"/>
        </w:rPr>
        <w:t>2.</w:t>
      </w:r>
      <w:r w:rsidRPr="00063CA9">
        <w:rPr>
          <w:rFonts w:ascii="Arial" w:hAnsi="Arial" w:cs="Arial"/>
          <w:noProof/>
          <w:sz w:val="15"/>
          <w:szCs w:val="15"/>
        </w:rPr>
        <w:tab/>
        <w:t xml:space="preserve">Maheshwari P. Our New Normal: The Rise In Telemedicine Adoption And Its Role After The Pandemic. Forbes. 2020;Available at:  </w:t>
      </w:r>
      <w:hyperlink r:id="rId14" w:history="1">
        <w:r w:rsidRPr="00063CA9">
          <w:rPr>
            <w:rStyle w:val="Hyperlink"/>
            <w:rFonts w:ascii="Arial" w:hAnsi="Arial" w:cs="Arial"/>
            <w:noProof/>
            <w:sz w:val="15"/>
            <w:szCs w:val="15"/>
          </w:rPr>
          <w:t>https://www.forbes.com/sites/forbestechcouncil/2020/09/02/our-new-normal-the-rise-in-telemedicine-adoption-and-its-role-after-the-pandemic/?sh=6cfcdb8932c0</w:t>
        </w:r>
      </w:hyperlink>
      <w:r w:rsidRPr="00063CA9">
        <w:rPr>
          <w:rFonts w:ascii="Arial" w:hAnsi="Arial" w:cs="Arial"/>
          <w:noProof/>
          <w:sz w:val="15"/>
          <w:szCs w:val="15"/>
        </w:rPr>
        <w:t>.</w:t>
      </w:r>
    </w:p>
    <w:p w14:paraId="230F0DAC" w14:textId="1732E59C" w:rsidR="00063CA9" w:rsidRPr="00063CA9" w:rsidRDefault="00063CA9" w:rsidP="00063CA9">
      <w:pPr>
        <w:pStyle w:val="EndNoteBibliography"/>
        <w:spacing w:line="276" w:lineRule="auto"/>
        <w:rPr>
          <w:rFonts w:ascii="Arial" w:hAnsi="Arial" w:cs="Arial"/>
          <w:noProof/>
          <w:sz w:val="15"/>
          <w:szCs w:val="15"/>
        </w:rPr>
      </w:pPr>
      <w:r w:rsidRPr="00063CA9">
        <w:rPr>
          <w:rFonts w:ascii="Arial" w:hAnsi="Arial" w:cs="Arial"/>
          <w:noProof/>
          <w:sz w:val="15"/>
          <w:szCs w:val="15"/>
        </w:rPr>
        <w:t>3.</w:t>
      </w:r>
      <w:r w:rsidRPr="00063CA9">
        <w:rPr>
          <w:rFonts w:ascii="Arial" w:hAnsi="Arial" w:cs="Arial"/>
          <w:noProof/>
          <w:sz w:val="15"/>
          <w:szCs w:val="15"/>
        </w:rPr>
        <w:tab/>
        <w:t>Smith K, Singh H, Goeschel C, Graber M. Telediagnosis for Acute Care - Implications for the Quality and Safety of Diagnosis. 2020.</w:t>
      </w:r>
    </w:p>
    <w:p w14:paraId="138C4C97" w14:textId="63D2592C" w:rsidR="00063CA9" w:rsidRPr="00063CA9" w:rsidRDefault="00063CA9" w:rsidP="00063CA9">
      <w:pPr>
        <w:pStyle w:val="EndNoteBibliography"/>
        <w:spacing w:line="276" w:lineRule="auto"/>
        <w:rPr>
          <w:rFonts w:ascii="Arial" w:hAnsi="Arial" w:cs="Arial"/>
          <w:noProof/>
          <w:sz w:val="15"/>
          <w:szCs w:val="15"/>
        </w:rPr>
      </w:pPr>
      <w:r w:rsidRPr="00063CA9">
        <w:rPr>
          <w:rFonts w:ascii="Arial" w:hAnsi="Arial" w:cs="Arial"/>
          <w:noProof/>
          <w:sz w:val="15"/>
          <w:szCs w:val="15"/>
        </w:rPr>
        <w:t>4.</w:t>
      </w:r>
      <w:r w:rsidRPr="00063CA9">
        <w:rPr>
          <w:rFonts w:ascii="Arial" w:hAnsi="Arial" w:cs="Arial"/>
          <w:noProof/>
          <w:sz w:val="15"/>
          <w:szCs w:val="15"/>
        </w:rPr>
        <w:tab/>
        <w:t>Graber M, Schrandt S. Improving Telediagnosis: A Call to Action; Conversations with Hospitals, Health Systems, and Clinical Practices. Society to Improve Diagnosis in Mediicne; 2021.</w:t>
      </w:r>
    </w:p>
    <w:p w14:paraId="0862ECD0" w14:textId="03742351" w:rsidR="00063CA9" w:rsidRPr="00063CA9" w:rsidRDefault="00063CA9" w:rsidP="00063CA9">
      <w:pPr>
        <w:pStyle w:val="EndNoteBibliography"/>
        <w:spacing w:line="276" w:lineRule="auto"/>
        <w:rPr>
          <w:rFonts w:ascii="Arial" w:hAnsi="Arial" w:cs="Arial"/>
          <w:noProof/>
          <w:sz w:val="15"/>
          <w:szCs w:val="15"/>
        </w:rPr>
      </w:pPr>
      <w:r w:rsidRPr="00063CA9">
        <w:rPr>
          <w:rFonts w:ascii="Arial" w:hAnsi="Arial" w:cs="Arial"/>
          <w:noProof/>
          <w:sz w:val="15"/>
          <w:szCs w:val="15"/>
        </w:rPr>
        <w:t>5.</w:t>
      </w:r>
      <w:r w:rsidRPr="00063CA9">
        <w:rPr>
          <w:rFonts w:ascii="Arial" w:hAnsi="Arial" w:cs="Arial"/>
          <w:noProof/>
          <w:sz w:val="15"/>
          <w:szCs w:val="15"/>
        </w:rPr>
        <w:tab/>
        <w:t>Clinician Brief site here, renumber below</w:t>
      </w:r>
    </w:p>
    <w:p w14:paraId="5623A4A1" w14:textId="5FBB5565" w:rsidR="00063CA9" w:rsidRPr="00063CA9" w:rsidRDefault="00063CA9" w:rsidP="00063CA9">
      <w:pPr>
        <w:pStyle w:val="EndNoteBibliography"/>
        <w:spacing w:line="276" w:lineRule="auto"/>
        <w:rPr>
          <w:rFonts w:ascii="Arial" w:hAnsi="Arial" w:cs="Arial"/>
          <w:noProof/>
          <w:sz w:val="15"/>
          <w:szCs w:val="15"/>
        </w:rPr>
      </w:pPr>
      <w:r w:rsidRPr="00063CA9">
        <w:rPr>
          <w:rFonts w:ascii="Arial" w:hAnsi="Arial" w:cs="Arial"/>
          <w:noProof/>
          <w:sz w:val="15"/>
          <w:szCs w:val="15"/>
        </w:rPr>
        <w:t xml:space="preserve">6.  </w:t>
      </w:r>
      <w:r w:rsidRPr="00063CA9">
        <w:rPr>
          <w:rFonts w:ascii="Arial" w:hAnsi="Arial" w:cs="Arial"/>
          <w:noProof/>
          <w:sz w:val="15"/>
          <w:szCs w:val="15"/>
        </w:rPr>
        <w:tab/>
        <w:t>Carlos I. Telemedicine tops digital health funding in 2020 at $3.2B: 4 things to know. Beckers Hospital Review. 2020;</w:t>
      </w:r>
      <w:hyperlink r:id="rId15" w:history="1">
        <w:r w:rsidRPr="00063CA9">
          <w:rPr>
            <w:rStyle w:val="Hyperlink"/>
            <w:rFonts w:ascii="Arial" w:hAnsi="Arial" w:cs="Arial"/>
            <w:noProof/>
            <w:sz w:val="15"/>
            <w:szCs w:val="15"/>
          </w:rPr>
          <w:t>https://www.beckershospitalreview.com/digital-transformation/telemedicine-tops-digital-health-funding-in-2020-at-3-2b-4-things-to-know.html</w:t>
        </w:r>
      </w:hyperlink>
      <w:r w:rsidRPr="00063CA9">
        <w:rPr>
          <w:rFonts w:ascii="Arial" w:hAnsi="Arial" w:cs="Arial"/>
          <w:noProof/>
          <w:sz w:val="15"/>
          <w:szCs w:val="15"/>
        </w:rPr>
        <w:t>.</w:t>
      </w:r>
    </w:p>
    <w:p w14:paraId="306F8FC1" w14:textId="77777777" w:rsidR="00063CA9" w:rsidRPr="00063CA9" w:rsidRDefault="00063CA9" w:rsidP="00063CA9">
      <w:pPr>
        <w:pStyle w:val="EndNoteBibliography"/>
        <w:spacing w:line="276" w:lineRule="auto"/>
        <w:rPr>
          <w:rFonts w:ascii="Arial" w:hAnsi="Arial" w:cs="Arial"/>
          <w:noProof/>
          <w:sz w:val="15"/>
          <w:szCs w:val="15"/>
        </w:rPr>
      </w:pPr>
      <w:r w:rsidRPr="00063CA9">
        <w:rPr>
          <w:rFonts w:ascii="Arial" w:hAnsi="Arial" w:cs="Arial"/>
          <w:noProof/>
          <w:sz w:val="15"/>
          <w:szCs w:val="15"/>
        </w:rPr>
        <w:t>6.</w:t>
      </w:r>
      <w:r w:rsidRPr="00063CA9">
        <w:rPr>
          <w:rFonts w:ascii="Arial" w:hAnsi="Arial" w:cs="Arial"/>
          <w:noProof/>
          <w:sz w:val="15"/>
          <w:szCs w:val="15"/>
        </w:rPr>
        <w:tab/>
        <w:t>Delgoshaei B, Mobinizadeh M, Mojdekar R, Afzal E, Arabloo J, Mohamadi E. Telemedicine: A systematic review of economic evaluations. Med J Islam Repub Iran. 2017;31:113.</w:t>
      </w:r>
    </w:p>
    <w:p w14:paraId="42EA9BBB" w14:textId="2029749C" w:rsidR="00063CA9" w:rsidRPr="00063CA9" w:rsidRDefault="00063CA9" w:rsidP="00063CA9">
      <w:pPr>
        <w:pStyle w:val="EndNoteBibliography"/>
        <w:spacing w:line="276" w:lineRule="auto"/>
        <w:rPr>
          <w:rFonts w:ascii="Arial" w:hAnsi="Arial" w:cs="Arial"/>
          <w:noProof/>
          <w:sz w:val="15"/>
          <w:szCs w:val="15"/>
        </w:rPr>
      </w:pPr>
      <w:r w:rsidRPr="00063CA9">
        <w:rPr>
          <w:rFonts w:ascii="Arial" w:hAnsi="Arial" w:cs="Arial"/>
          <w:noProof/>
          <w:sz w:val="15"/>
          <w:szCs w:val="15"/>
        </w:rPr>
        <w:t>7.</w:t>
      </w:r>
      <w:r w:rsidRPr="00063CA9">
        <w:rPr>
          <w:rFonts w:ascii="Arial" w:hAnsi="Arial" w:cs="Arial"/>
          <w:noProof/>
          <w:sz w:val="15"/>
          <w:szCs w:val="15"/>
        </w:rPr>
        <w:tab/>
        <w:t>Sanyai C, Stolee P, Juzwishin D, Husereau D. Economic evaluations of telehealth technologies: A systematic review. PLoS One. 2019;</w:t>
      </w:r>
      <w:hyperlink r:id="rId16" w:history="1">
        <w:r w:rsidRPr="00063CA9">
          <w:rPr>
            <w:rStyle w:val="Hyperlink"/>
            <w:rFonts w:ascii="Arial" w:hAnsi="Arial" w:cs="Arial"/>
            <w:noProof/>
            <w:sz w:val="15"/>
            <w:szCs w:val="15"/>
          </w:rPr>
          <w:t>https://doi.ort.10.137/journal.pone.0198112</w:t>
        </w:r>
      </w:hyperlink>
      <w:r w:rsidRPr="00063CA9">
        <w:rPr>
          <w:rFonts w:ascii="Arial" w:hAnsi="Arial" w:cs="Arial"/>
          <w:noProof/>
          <w:sz w:val="15"/>
          <w:szCs w:val="15"/>
        </w:rPr>
        <w:t>.</w:t>
      </w:r>
    </w:p>
    <w:p w14:paraId="3D652CC0" w14:textId="77777777" w:rsidR="00063CA9" w:rsidRPr="00063CA9" w:rsidRDefault="00063CA9" w:rsidP="00063CA9">
      <w:pPr>
        <w:pStyle w:val="EndNoteBibliography"/>
        <w:spacing w:line="276" w:lineRule="auto"/>
        <w:rPr>
          <w:rFonts w:ascii="Arial" w:hAnsi="Arial" w:cs="Arial"/>
          <w:noProof/>
          <w:sz w:val="15"/>
          <w:szCs w:val="15"/>
        </w:rPr>
      </w:pPr>
      <w:r w:rsidRPr="00063CA9">
        <w:rPr>
          <w:rFonts w:ascii="Arial" w:hAnsi="Arial" w:cs="Arial"/>
          <w:noProof/>
          <w:sz w:val="15"/>
          <w:szCs w:val="15"/>
        </w:rPr>
        <w:t>8.</w:t>
      </w:r>
      <w:r w:rsidRPr="00063CA9">
        <w:rPr>
          <w:rFonts w:ascii="Arial" w:hAnsi="Arial" w:cs="Arial"/>
          <w:noProof/>
          <w:sz w:val="15"/>
          <w:szCs w:val="15"/>
        </w:rPr>
        <w:tab/>
        <w:t xml:space="preserve">American Medical Association. AMA’s Return on Health. Available at: </w:t>
      </w:r>
      <w:hyperlink r:id="rId17" w:history="1">
        <w:r w:rsidRPr="00063CA9">
          <w:rPr>
            <w:rStyle w:val="Hyperlink"/>
            <w:rFonts w:ascii="Arial" w:hAnsi="Arial" w:cs="Arial"/>
            <w:noProof/>
            <w:sz w:val="15"/>
            <w:szCs w:val="15"/>
          </w:rPr>
          <w:t>https://wwwama-assnorg/practice-management/digital/amas-return-health</w:t>
        </w:r>
      </w:hyperlink>
      <w:r w:rsidRPr="00063CA9">
        <w:rPr>
          <w:rFonts w:ascii="Arial" w:hAnsi="Arial" w:cs="Arial"/>
          <w:noProof/>
          <w:sz w:val="15"/>
          <w:szCs w:val="15"/>
        </w:rPr>
        <w:t>. 2021.</w:t>
      </w:r>
    </w:p>
    <w:p w14:paraId="6D729717" w14:textId="45F767A3" w:rsidR="00063CA9" w:rsidRPr="00063CA9" w:rsidRDefault="00063CA9" w:rsidP="00063CA9">
      <w:pPr>
        <w:pStyle w:val="EndNoteBibliography"/>
        <w:spacing w:line="276" w:lineRule="auto"/>
        <w:rPr>
          <w:rFonts w:ascii="Arial" w:hAnsi="Arial" w:cs="Arial"/>
          <w:noProof/>
          <w:sz w:val="15"/>
          <w:szCs w:val="15"/>
        </w:rPr>
      </w:pPr>
      <w:r w:rsidRPr="00063CA9">
        <w:rPr>
          <w:rFonts w:ascii="Arial" w:hAnsi="Arial" w:cs="Arial"/>
          <w:noProof/>
          <w:sz w:val="15"/>
          <w:szCs w:val="15"/>
        </w:rPr>
        <w:t>9.</w:t>
      </w:r>
      <w:r w:rsidRPr="00063CA9">
        <w:rPr>
          <w:rFonts w:ascii="Arial" w:hAnsi="Arial" w:cs="Arial"/>
          <w:noProof/>
          <w:sz w:val="15"/>
          <w:szCs w:val="15"/>
        </w:rPr>
        <w:tab/>
        <w:t>The Doctors Company. The Risks and Benefits of Telehealth in the Future of Healthcare. Available at: thedoctorscom. 2020.</w:t>
      </w:r>
    </w:p>
    <w:p w14:paraId="601B4949" w14:textId="36616B4B" w:rsidR="00063CA9" w:rsidRPr="00063CA9" w:rsidRDefault="00063CA9" w:rsidP="00063CA9">
      <w:pPr>
        <w:pStyle w:val="EndNoteBibliography"/>
        <w:spacing w:line="276" w:lineRule="auto"/>
        <w:rPr>
          <w:rFonts w:ascii="Arial" w:hAnsi="Arial" w:cs="Arial"/>
          <w:noProof/>
          <w:sz w:val="15"/>
          <w:szCs w:val="15"/>
        </w:rPr>
      </w:pPr>
      <w:r w:rsidRPr="00063CA9">
        <w:rPr>
          <w:rFonts w:ascii="Arial" w:hAnsi="Arial" w:cs="Arial"/>
          <w:noProof/>
          <w:sz w:val="15"/>
          <w:szCs w:val="15"/>
        </w:rPr>
        <w:t>10.</w:t>
      </w:r>
      <w:r w:rsidRPr="00063CA9">
        <w:rPr>
          <w:rFonts w:ascii="Arial" w:hAnsi="Arial" w:cs="Arial"/>
          <w:noProof/>
          <w:sz w:val="15"/>
          <w:szCs w:val="15"/>
        </w:rPr>
        <w:tab/>
        <w:t>Albarrak AI, Mohammed R, Almarshoud N, Almujalli L, Aljaeed R, Altuwaijiri S, et al. Assessment of physician's knowledge, perception and willingness of telemedicine in Riyadh region, Saudi Arabia. J Infect Public Health. 2019.</w:t>
      </w:r>
    </w:p>
    <w:p w14:paraId="11D76025" w14:textId="43110A66" w:rsidR="00063CA9" w:rsidRPr="00063CA9" w:rsidRDefault="00063CA9" w:rsidP="00063CA9">
      <w:pPr>
        <w:pStyle w:val="EndNoteBibliography"/>
        <w:spacing w:line="276" w:lineRule="auto"/>
        <w:rPr>
          <w:rFonts w:ascii="Arial" w:hAnsi="Arial" w:cs="Arial"/>
          <w:noProof/>
          <w:sz w:val="15"/>
          <w:szCs w:val="15"/>
        </w:rPr>
      </w:pPr>
      <w:r w:rsidRPr="00063CA9">
        <w:rPr>
          <w:rFonts w:ascii="Arial" w:hAnsi="Arial" w:cs="Arial"/>
          <w:noProof/>
          <w:sz w:val="15"/>
          <w:szCs w:val="15"/>
        </w:rPr>
        <w:t>11.</w:t>
      </w:r>
      <w:r w:rsidRPr="00063CA9">
        <w:rPr>
          <w:rFonts w:ascii="Arial" w:hAnsi="Arial" w:cs="Arial"/>
          <w:noProof/>
          <w:sz w:val="15"/>
          <w:szCs w:val="15"/>
        </w:rPr>
        <w:tab/>
        <w:t>Hall J, McGraw D. For telehealth to succeed, privacy and security risks must be identified and addressed. Health Aff (Millwood). 2014;33(2):216-21.</w:t>
      </w:r>
    </w:p>
    <w:p w14:paraId="0E903121" w14:textId="6E6EF0D2" w:rsidR="00063CA9" w:rsidRPr="00063CA9" w:rsidRDefault="00063CA9" w:rsidP="00063CA9">
      <w:pPr>
        <w:pStyle w:val="EndNoteBibliography"/>
        <w:spacing w:line="276" w:lineRule="auto"/>
        <w:rPr>
          <w:rFonts w:ascii="Arial" w:hAnsi="Arial" w:cs="Arial"/>
          <w:noProof/>
          <w:sz w:val="15"/>
          <w:szCs w:val="15"/>
        </w:rPr>
      </w:pPr>
      <w:r w:rsidRPr="00063CA9">
        <w:rPr>
          <w:rFonts w:ascii="Arial" w:hAnsi="Arial" w:cs="Arial"/>
          <w:noProof/>
          <w:sz w:val="15"/>
          <w:szCs w:val="15"/>
        </w:rPr>
        <w:t>12.</w:t>
      </w:r>
      <w:r w:rsidRPr="00063CA9">
        <w:rPr>
          <w:rFonts w:ascii="Arial" w:hAnsi="Arial" w:cs="Arial"/>
          <w:noProof/>
          <w:sz w:val="15"/>
          <w:szCs w:val="15"/>
        </w:rPr>
        <w:tab/>
        <w:t>Firth S. AMA Adopts Policy to Expand Access to Telehealth. Medpage Today. 2021;</w:t>
      </w:r>
      <w:hyperlink r:id="rId18" w:history="1">
        <w:r w:rsidRPr="00063CA9">
          <w:rPr>
            <w:rStyle w:val="Hyperlink"/>
            <w:rFonts w:ascii="Arial" w:hAnsi="Arial" w:cs="Arial"/>
            <w:noProof/>
            <w:sz w:val="15"/>
            <w:szCs w:val="15"/>
          </w:rPr>
          <w:t>https://www.medpagetoday.com/meetingcoverage/ama/89786?xid=nl_mpt_DHE_2020-11-20&amp;eun=g984329d0r&amp;utm_source=Sailthru&amp;utm_medium=email&amp;utm_campaign=Daily%20Headlines%20Top%20Cat%20HeC%20%202020-11-20&amp;utm_term=NL_Daily_DHE_dual-gmail-definition</w:t>
        </w:r>
      </w:hyperlink>
      <w:r w:rsidRPr="00063CA9">
        <w:rPr>
          <w:rFonts w:ascii="Arial" w:hAnsi="Arial" w:cs="Arial"/>
          <w:noProof/>
          <w:sz w:val="15"/>
          <w:szCs w:val="15"/>
        </w:rPr>
        <w:t>.</w:t>
      </w:r>
    </w:p>
    <w:p w14:paraId="4CB96F9E" w14:textId="436EE195" w:rsidR="00063CA9" w:rsidRPr="00063CA9" w:rsidRDefault="00063CA9" w:rsidP="00063CA9">
      <w:pPr>
        <w:pStyle w:val="EndNoteBibliography"/>
        <w:spacing w:line="276" w:lineRule="auto"/>
        <w:rPr>
          <w:rFonts w:ascii="Arial" w:hAnsi="Arial" w:cs="Arial"/>
          <w:noProof/>
          <w:sz w:val="15"/>
          <w:szCs w:val="15"/>
        </w:rPr>
      </w:pPr>
      <w:r w:rsidRPr="00063CA9">
        <w:rPr>
          <w:rFonts w:ascii="Arial" w:hAnsi="Arial" w:cs="Arial"/>
          <w:noProof/>
          <w:sz w:val="15"/>
          <w:szCs w:val="15"/>
        </w:rPr>
        <w:t>13.</w:t>
      </w:r>
      <w:r w:rsidRPr="00063CA9">
        <w:rPr>
          <w:rFonts w:ascii="Arial" w:hAnsi="Arial" w:cs="Arial"/>
          <w:noProof/>
          <w:sz w:val="15"/>
          <w:szCs w:val="15"/>
        </w:rPr>
        <w:tab/>
        <w:t>Eyrich N, Andino J, Fessell D. Bridging the Digital Divide to Avoid Leaving the Most Vulnerable Behind. JAMA Surgery. 2021; doi: 10.1001/jamasurg.2021.1143.</w:t>
      </w:r>
    </w:p>
    <w:p w14:paraId="00FBD5D2" w14:textId="1F88EEEE" w:rsidR="00063CA9" w:rsidRPr="00063CA9" w:rsidRDefault="00063CA9" w:rsidP="00063CA9">
      <w:pPr>
        <w:pStyle w:val="EndNoteBibliography"/>
        <w:spacing w:line="276" w:lineRule="auto"/>
        <w:rPr>
          <w:rFonts w:ascii="Arial" w:hAnsi="Arial" w:cs="Arial"/>
          <w:noProof/>
          <w:sz w:val="15"/>
          <w:szCs w:val="15"/>
        </w:rPr>
      </w:pPr>
      <w:r w:rsidRPr="00063CA9">
        <w:rPr>
          <w:rFonts w:ascii="Arial" w:hAnsi="Arial" w:cs="Arial"/>
          <w:noProof/>
          <w:sz w:val="15"/>
          <w:szCs w:val="15"/>
        </w:rPr>
        <w:t>14.</w:t>
      </w:r>
      <w:r w:rsidRPr="00063CA9">
        <w:rPr>
          <w:rFonts w:ascii="Arial" w:hAnsi="Arial" w:cs="Arial"/>
          <w:noProof/>
          <w:sz w:val="15"/>
          <w:szCs w:val="15"/>
        </w:rPr>
        <w:tab/>
        <w:t xml:space="preserve">Phend C. Permanent telehealth expansion gains bipartisan support. Medpage Today. 2021;Available at: </w:t>
      </w:r>
      <w:hyperlink r:id="rId19" w:history="1">
        <w:r w:rsidRPr="00063CA9">
          <w:rPr>
            <w:rStyle w:val="Hyperlink"/>
            <w:rFonts w:ascii="Arial" w:hAnsi="Arial" w:cs="Arial"/>
            <w:noProof/>
            <w:sz w:val="15"/>
            <w:szCs w:val="15"/>
          </w:rPr>
          <w:t>https://www.medpagetoday.com/practicemanagement/telehealth/91461</w:t>
        </w:r>
      </w:hyperlink>
      <w:r w:rsidRPr="00063CA9">
        <w:rPr>
          <w:rFonts w:ascii="Arial" w:hAnsi="Arial" w:cs="Arial"/>
          <w:noProof/>
          <w:sz w:val="15"/>
          <w:szCs w:val="15"/>
        </w:rPr>
        <w:t>.</w:t>
      </w:r>
    </w:p>
    <w:p w14:paraId="58468F76" w14:textId="5405F6BC" w:rsidR="00063CA9" w:rsidRPr="00063CA9" w:rsidRDefault="00063CA9" w:rsidP="00063CA9">
      <w:pPr>
        <w:pStyle w:val="EndNoteBibliography"/>
        <w:spacing w:line="276" w:lineRule="auto"/>
        <w:rPr>
          <w:rFonts w:ascii="Arial" w:hAnsi="Arial" w:cs="Arial"/>
          <w:noProof/>
          <w:sz w:val="15"/>
          <w:szCs w:val="15"/>
        </w:rPr>
      </w:pPr>
      <w:r w:rsidRPr="00063CA9">
        <w:rPr>
          <w:rFonts w:ascii="Arial" w:hAnsi="Arial" w:cs="Arial"/>
          <w:noProof/>
          <w:sz w:val="15"/>
          <w:szCs w:val="15"/>
        </w:rPr>
        <w:t>15.</w:t>
      </w:r>
      <w:r w:rsidRPr="00063CA9">
        <w:rPr>
          <w:rFonts w:ascii="Arial" w:hAnsi="Arial" w:cs="Arial"/>
          <w:noProof/>
          <w:sz w:val="15"/>
          <w:szCs w:val="15"/>
        </w:rPr>
        <w:tab/>
        <w:t>Greenhalgh T. Covid-19: a remote assessment in primary care. Br Med J. 2020;368:doi: 10.1136/bmj.m82.</w:t>
      </w:r>
    </w:p>
    <w:p w14:paraId="25FA8839" w14:textId="18568D73" w:rsidR="00063CA9" w:rsidRPr="00063CA9" w:rsidRDefault="00063CA9" w:rsidP="00063CA9">
      <w:pPr>
        <w:pStyle w:val="EndNoteBibliography"/>
        <w:spacing w:line="276" w:lineRule="auto"/>
        <w:rPr>
          <w:rFonts w:ascii="Arial" w:hAnsi="Arial" w:cs="Arial"/>
          <w:noProof/>
          <w:sz w:val="15"/>
          <w:szCs w:val="15"/>
        </w:rPr>
      </w:pPr>
      <w:r w:rsidRPr="00063CA9">
        <w:rPr>
          <w:rFonts w:ascii="Arial" w:hAnsi="Arial" w:cs="Arial"/>
          <w:noProof/>
          <w:sz w:val="15"/>
          <w:szCs w:val="15"/>
        </w:rPr>
        <w:t>16.</w:t>
      </w:r>
      <w:r w:rsidRPr="00063CA9">
        <w:rPr>
          <w:rFonts w:ascii="Arial" w:hAnsi="Arial" w:cs="Arial"/>
          <w:noProof/>
          <w:sz w:val="15"/>
          <w:szCs w:val="15"/>
        </w:rPr>
        <w:tab/>
        <w:t>Vegesna A, Tran M, Angelaccio M, Arcona S. Remote Patient Monitoring via Non-Invasive Digital Technologies: A Systematic Review. Telemed J E Health. 2017;23(1):3-17.</w:t>
      </w:r>
    </w:p>
    <w:p w14:paraId="1748B64C" w14:textId="1BC99839" w:rsidR="00063CA9" w:rsidRPr="00063CA9" w:rsidRDefault="00063CA9" w:rsidP="00063CA9">
      <w:pPr>
        <w:pStyle w:val="EndNoteBibliography"/>
        <w:spacing w:line="276" w:lineRule="auto"/>
        <w:rPr>
          <w:rFonts w:ascii="Arial" w:hAnsi="Arial" w:cs="Arial"/>
          <w:noProof/>
          <w:sz w:val="15"/>
          <w:szCs w:val="15"/>
        </w:rPr>
      </w:pPr>
      <w:r w:rsidRPr="00063CA9">
        <w:rPr>
          <w:rFonts w:ascii="Arial" w:hAnsi="Arial" w:cs="Arial"/>
          <w:noProof/>
          <w:sz w:val="15"/>
          <w:szCs w:val="15"/>
        </w:rPr>
        <w:t>17.</w:t>
      </w:r>
      <w:r w:rsidRPr="00063CA9">
        <w:rPr>
          <w:rFonts w:ascii="Arial" w:hAnsi="Arial" w:cs="Arial"/>
          <w:noProof/>
          <w:sz w:val="15"/>
          <w:szCs w:val="15"/>
        </w:rPr>
        <w:tab/>
        <w:t>Weinstein RS, Krupinski EA, Doarn CR. Clinical Examination Component of Telemedicine, Telehealth, mHealth, and Connected Health Medical Practices. Med Clin North Am. 2018;102(3):533-44.</w:t>
      </w:r>
    </w:p>
    <w:p w14:paraId="5B862EF1" w14:textId="482F8E5F" w:rsidR="00063CA9" w:rsidRPr="00063CA9" w:rsidRDefault="00063CA9" w:rsidP="00063CA9">
      <w:pPr>
        <w:pStyle w:val="EndNoteBibliography"/>
        <w:spacing w:line="276" w:lineRule="auto"/>
        <w:rPr>
          <w:rFonts w:ascii="Arial" w:hAnsi="Arial" w:cs="Arial"/>
          <w:noProof/>
          <w:sz w:val="15"/>
          <w:szCs w:val="15"/>
        </w:rPr>
      </w:pPr>
      <w:r w:rsidRPr="00063CA9">
        <w:rPr>
          <w:rFonts w:ascii="Arial" w:hAnsi="Arial" w:cs="Arial"/>
          <w:noProof/>
          <w:sz w:val="15"/>
          <w:szCs w:val="15"/>
        </w:rPr>
        <w:t>18.</w:t>
      </w:r>
      <w:r w:rsidRPr="00063CA9">
        <w:rPr>
          <w:rFonts w:ascii="Arial" w:hAnsi="Arial" w:cs="Arial"/>
          <w:noProof/>
          <w:sz w:val="15"/>
          <w:szCs w:val="15"/>
        </w:rPr>
        <w:tab/>
        <w:t>Benziger C, Huffman M, Sweis R, Stone N. The telehealth ten: A guide for a patient-assised virtual physical examination. Am J Med Qual. 2021;134(1):48-51.</w:t>
      </w:r>
    </w:p>
    <w:p w14:paraId="45C3A945" w14:textId="0D9EDAAB" w:rsidR="00063CA9" w:rsidRPr="00063CA9" w:rsidRDefault="00063CA9" w:rsidP="00063CA9">
      <w:pPr>
        <w:pStyle w:val="EndNoteBibliography"/>
        <w:spacing w:line="276" w:lineRule="auto"/>
        <w:rPr>
          <w:rFonts w:ascii="Arial" w:hAnsi="Arial" w:cs="Arial"/>
          <w:noProof/>
          <w:sz w:val="15"/>
          <w:szCs w:val="15"/>
        </w:rPr>
      </w:pPr>
      <w:r w:rsidRPr="00063CA9">
        <w:rPr>
          <w:rFonts w:ascii="Arial" w:hAnsi="Arial" w:cs="Arial"/>
          <w:noProof/>
          <w:sz w:val="15"/>
          <w:szCs w:val="15"/>
        </w:rPr>
        <w:t>19.</w:t>
      </w:r>
      <w:r w:rsidRPr="00063CA9">
        <w:rPr>
          <w:rFonts w:ascii="Arial" w:hAnsi="Arial" w:cs="Arial"/>
          <w:noProof/>
          <w:sz w:val="15"/>
          <w:szCs w:val="15"/>
        </w:rPr>
        <w:tab/>
        <w:t>McCool E. Grasping What We Cannot Teach; Examining the Telemedicine Patient. JAMA Otolaryngology. 2020;146(8):685-6.</w:t>
      </w:r>
    </w:p>
    <w:p w14:paraId="7E418E1C" w14:textId="77777777" w:rsidR="00063CA9" w:rsidRPr="00063CA9" w:rsidRDefault="00063CA9" w:rsidP="00063CA9">
      <w:pPr>
        <w:pStyle w:val="EndNoteBibliography"/>
        <w:spacing w:line="276" w:lineRule="auto"/>
        <w:rPr>
          <w:rFonts w:ascii="Arial" w:hAnsi="Arial" w:cs="Arial"/>
          <w:noProof/>
          <w:sz w:val="15"/>
          <w:szCs w:val="15"/>
        </w:rPr>
      </w:pPr>
      <w:r w:rsidRPr="00063CA9">
        <w:rPr>
          <w:rFonts w:ascii="Arial" w:hAnsi="Arial" w:cs="Arial"/>
          <w:noProof/>
          <w:sz w:val="15"/>
          <w:szCs w:val="15"/>
        </w:rPr>
        <w:t>20.</w:t>
      </w:r>
      <w:r w:rsidRPr="00063CA9">
        <w:rPr>
          <w:rFonts w:ascii="Arial" w:hAnsi="Arial" w:cs="Arial"/>
          <w:noProof/>
          <w:sz w:val="15"/>
          <w:szCs w:val="15"/>
        </w:rPr>
        <w:tab/>
        <w:t>Tanaka MJ, Oh LS, Martin SD, Berkson EM. Telemedicine in the Era of COVID-19: The Virtual Orthopaedic Examination. J Bone Joint Surg Am. 2020;102(12):e57.</w:t>
      </w:r>
    </w:p>
    <w:p w14:paraId="33F5C467" w14:textId="3A100625" w:rsidR="00063CA9" w:rsidRPr="00063CA9" w:rsidRDefault="00063CA9" w:rsidP="00063CA9">
      <w:pPr>
        <w:pStyle w:val="EndNoteBibliography"/>
        <w:spacing w:line="276" w:lineRule="auto"/>
        <w:rPr>
          <w:rFonts w:ascii="Arial" w:hAnsi="Arial" w:cs="Arial"/>
          <w:noProof/>
          <w:sz w:val="15"/>
          <w:szCs w:val="15"/>
        </w:rPr>
      </w:pPr>
      <w:r w:rsidRPr="00063CA9">
        <w:rPr>
          <w:rFonts w:ascii="Arial" w:hAnsi="Arial" w:cs="Arial"/>
          <w:noProof/>
          <w:sz w:val="15"/>
          <w:szCs w:val="15"/>
        </w:rPr>
        <w:t>21.</w:t>
      </w:r>
      <w:r w:rsidRPr="00063CA9">
        <w:rPr>
          <w:rFonts w:ascii="Arial" w:hAnsi="Arial" w:cs="Arial"/>
          <w:noProof/>
          <w:sz w:val="15"/>
          <w:szCs w:val="15"/>
        </w:rPr>
        <w:tab/>
        <w:t>Cohen A, Nahed B. The digital neurological examination. Digit Biomark. 2021;5:114-25.</w:t>
      </w:r>
    </w:p>
    <w:p w14:paraId="767C838C" w14:textId="3B443856" w:rsidR="00063CA9" w:rsidRPr="00063CA9" w:rsidRDefault="00063CA9" w:rsidP="00063CA9">
      <w:pPr>
        <w:pStyle w:val="EndNoteBibliography"/>
        <w:spacing w:line="276" w:lineRule="auto"/>
        <w:rPr>
          <w:rFonts w:ascii="Arial" w:hAnsi="Arial" w:cs="Arial"/>
          <w:noProof/>
          <w:sz w:val="15"/>
          <w:szCs w:val="15"/>
        </w:rPr>
      </w:pPr>
      <w:r w:rsidRPr="00063CA9">
        <w:rPr>
          <w:rFonts w:ascii="Arial" w:hAnsi="Arial" w:cs="Arial"/>
          <w:noProof/>
          <w:sz w:val="15"/>
          <w:szCs w:val="15"/>
        </w:rPr>
        <w:t>22.</w:t>
      </w:r>
      <w:r w:rsidRPr="00063CA9">
        <w:rPr>
          <w:rFonts w:ascii="Arial" w:hAnsi="Arial" w:cs="Arial"/>
          <w:noProof/>
          <w:sz w:val="15"/>
          <w:szCs w:val="15"/>
        </w:rPr>
        <w:tab/>
        <w:t xml:space="preserve">Mehrotra A, Wang B, Snyder G. Telemedicine: What Should the Post-Pandemic Regulatory and Payment Landscape Look Like? : The Commonwealth Fund; 2020.  Contract No.: </w:t>
      </w:r>
      <w:hyperlink r:id="rId20" w:history="1">
        <w:r w:rsidRPr="00063CA9">
          <w:rPr>
            <w:rStyle w:val="Hyperlink"/>
            <w:rFonts w:ascii="Arial" w:hAnsi="Arial" w:cs="Arial"/>
            <w:noProof/>
            <w:sz w:val="15"/>
            <w:szCs w:val="15"/>
          </w:rPr>
          <w:t>https://www.commonwealthfund.org/publications/issue-briefs/2020/aug/telemedicine-post-pandemic-regulation</w:t>
        </w:r>
      </w:hyperlink>
      <w:r w:rsidRPr="00063CA9">
        <w:rPr>
          <w:rFonts w:ascii="Arial" w:hAnsi="Arial" w:cs="Arial"/>
          <w:noProof/>
          <w:sz w:val="15"/>
          <w:szCs w:val="15"/>
        </w:rPr>
        <w:t>.</w:t>
      </w:r>
      <w:r w:rsidRPr="00063CA9">
        <w:rPr>
          <w:rFonts w:ascii="Arial" w:hAnsi="Arial" w:cs="Arial"/>
          <w:b/>
          <w:bCs/>
          <w:noProof/>
          <w:color w:val="B79E38"/>
          <w:sz w:val="16"/>
          <w:szCs w:val="16"/>
        </w:rPr>
        <w:t xml:space="preserve"> </w:t>
      </w:r>
    </w:p>
    <w:p w14:paraId="21CF93CA" w14:textId="68AD6820" w:rsidR="00063CA9" w:rsidRPr="00063CA9" w:rsidRDefault="00063CA9" w:rsidP="00063CA9">
      <w:pPr>
        <w:pStyle w:val="EndNoteBibliography"/>
        <w:spacing w:line="276" w:lineRule="auto"/>
        <w:rPr>
          <w:rFonts w:ascii="Arial" w:hAnsi="Arial" w:cs="Arial"/>
          <w:noProof/>
          <w:sz w:val="15"/>
          <w:szCs w:val="15"/>
        </w:rPr>
      </w:pPr>
      <w:r w:rsidRPr="00063CA9">
        <w:rPr>
          <w:rFonts w:ascii="Arial" w:hAnsi="Arial" w:cs="Arial"/>
          <w:noProof/>
          <w:sz w:val="15"/>
          <w:szCs w:val="15"/>
        </w:rPr>
        <w:t>23.</w:t>
      </w:r>
      <w:r w:rsidRPr="00063CA9">
        <w:rPr>
          <w:rFonts w:ascii="Arial" w:hAnsi="Arial" w:cs="Arial"/>
          <w:noProof/>
          <w:sz w:val="15"/>
          <w:szCs w:val="15"/>
        </w:rPr>
        <w:tab/>
        <w:t xml:space="preserve">Muto P. How Digital Healthcare Technology Can Reinvent the Doctor-Patient Relationship. Available at: </w:t>
      </w:r>
      <w:hyperlink r:id="rId21" w:history="1">
        <w:r w:rsidRPr="00063CA9">
          <w:rPr>
            <w:rStyle w:val="Hyperlink"/>
            <w:rFonts w:ascii="Arial" w:hAnsi="Arial" w:cs="Arial"/>
            <w:noProof/>
            <w:sz w:val="15"/>
            <w:szCs w:val="15"/>
          </w:rPr>
          <w:t>https://builtincom/healthcare-technology/how-digital-healthcare-can-reinvent-doctor-patient-relationship</w:t>
        </w:r>
      </w:hyperlink>
      <w:r w:rsidRPr="00063CA9">
        <w:rPr>
          <w:rFonts w:ascii="Arial" w:hAnsi="Arial" w:cs="Arial"/>
          <w:noProof/>
          <w:sz w:val="15"/>
          <w:szCs w:val="15"/>
        </w:rPr>
        <w:t>. 2020.</w:t>
      </w:r>
    </w:p>
    <w:p w14:paraId="24EB7BCB" w14:textId="33655EA9" w:rsidR="00063CA9" w:rsidRPr="00063CA9" w:rsidRDefault="00063CA9" w:rsidP="00063CA9">
      <w:pPr>
        <w:pStyle w:val="EndNoteBibliography"/>
        <w:spacing w:line="276" w:lineRule="auto"/>
        <w:ind w:right="-540"/>
        <w:rPr>
          <w:rFonts w:ascii="Arial" w:hAnsi="Arial" w:cs="Arial"/>
          <w:sz w:val="21"/>
          <w:szCs w:val="21"/>
        </w:rPr>
      </w:pPr>
      <w:r w:rsidRPr="00063CA9">
        <w:rPr>
          <w:rFonts w:ascii="Arial" w:hAnsi="Arial" w:cs="Arial"/>
          <w:sz w:val="15"/>
          <w:szCs w:val="15"/>
        </w:rPr>
        <w:fldChar w:fldCharType="end"/>
      </w:r>
    </w:p>
    <w:p w14:paraId="35096838" w14:textId="7D739982" w:rsidR="00436F25" w:rsidRDefault="00A65A09" w:rsidP="00063CA9">
      <w:pPr>
        <w:pStyle w:val="EndNoteBibliography"/>
        <w:ind w:right="-540"/>
        <w:rPr>
          <w:rFonts w:ascii="Arial" w:hAnsi="Arial" w:cs="Arial"/>
          <w:noProof/>
          <w:sz w:val="16"/>
          <w:szCs w:val="16"/>
        </w:rPr>
      </w:pPr>
      <w:r w:rsidRPr="00063CA9">
        <w:rPr>
          <w:rFonts w:ascii="Arial" w:hAnsi="Arial" w:cs="Arial"/>
          <w:noProof/>
          <w:sz w:val="13"/>
          <w:szCs w:val="13"/>
        </w:rPr>
        <w:fldChar w:fldCharType="end"/>
      </w:r>
    </w:p>
    <w:p w14:paraId="27E1B689" w14:textId="56D50E08" w:rsidR="008751F5" w:rsidRDefault="007646B5" w:rsidP="00A65A09">
      <w:pPr>
        <w:tabs>
          <w:tab w:val="left" w:pos="1688"/>
        </w:tabs>
        <w:rPr>
          <w:rFonts w:ascii="Arial" w:hAnsi="Arial" w:cs="Arial"/>
          <w:noProof/>
          <w:sz w:val="16"/>
          <w:szCs w:val="16"/>
        </w:rPr>
      </w:pPr>
      <w:r>
        <w:rPr>
          <w:rFonts w:ascii="Arial" w:hAnsi="Arial" w:cs="Arial"/>
          <w:b/>
          <w:bCs/>
          <w:noProof/>
          <w:color w:val="353535"/>
        </w:rPr>
        <w:drawing>
          <wp:anchor distT="0" distB="0" distL="114300" distR="114300" simplePos="0" relativeHeight="251679744" behindDoc="1" locked="0" layoutInCell="1" allowOverlap="1" wp14:anchorId="2F2288A4" wp14:editId="039B85FB">
            <wp:simplePos x="0" y="0"/>
            <wp:positionH relativeFrom="margin">
              <wp:align>left</wp:align>
            </wp:positionH>
            <wp:positionV relativeFrom="paragraph">
              <wp:posOffset>91440</wp:posOffset>
            </wp:positionV>
            <wp:extent cx="2240280" cy="897890"/>
            <wp:effectExtent l="0" t="0" r="0" b="0"/>
            <wp:wrapSquare wrapText="bothSides"/>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rotWithShape="1">
                    <a:blip r:embed="rId22" cstate="print">
                      <a:extLst>
                        <a:ext uri="{28A0092B-C50C-407E-A947-70E740481C1C}">
                          <a14:useLocalDpi xmlns:a14="http://schemas.microsoft.com/office/drawing/2010/main" val="0"/>
                        </a:ext>
                      </a:extLst>
                    </a:blip>
                    <a:srcRect t="7804" r="6907" b="14954"/>
                    <a:stretch/>
                  </pic:blipFill>
                  <pic:spPr bwMode="auto">
                    <a:xfrm>
                      <a:off x="0" y="0"/>
                      <a:ext cx="2240280" cy="897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7CA171" w14:textId="145BC81E" w:rsidR="008F4B8C" w:rsidRPr="00A0514C" w:rsidRDefault="008F4B8C" w:rsidP="000B6853">
      <w:pPr>
        <w:ind w:firstLine="1440"/>
        <w:rPr>
          <w:rFonts w:ascii="Arial" w:hAnsi="Arial" w:cs="Arial"/>
          <w:b/>
          <w:bCs/>
          <w:color w:val="353535"/>
          <w:sz w:val="20"/>
          <w:szCs w:val="20"/>
        </w:rPr>
      </w:pPr>
      <w:r w:rsidRPr="00A0514C">
        <w:rPr>
          <w:rFonts w:ascii="Arial" w:hAnsi="Arial" w:cs="Arial"/>
          <w:b/>
          <w:bCs/>
          <w:color w:val="353535"/>
          <w:sz w:val="20"/>
          <w:szCs w:val="20"/>
        </w:rPr>
        <w:t>Society to Improve Diagnosis in Medicine</w:t>
      </w:r>
    </w:p>
    <w:p w14:paraId="25FCBB3B" w14:textId="234AEBA7" w:rsidR="000B6853" w:rsidRDefault="008F4B8C" w:rsidP="000B6853">
      <w:pPr>
        <w:ind w:firstLine="1440"/>
        <w:rPr>
          <w:rFonts w:ascii="Arial" w:hAnsi="Arial" w:cs="Arial"/>
          <w:b/>
          <w:bCs/>
          <w:color w:val="353535"/>
          <w:sz w:val="20"/>
          <w:szCs w:val="20"/>
        </w:rPr>
      </w:pPr>
      <w:r w:rsidRPr="00A0514C">
        <w:rPr>
          <w:rFonts w:ascii="Arial" w:hAnsi="Arial" w:cs="Arial"/>
          <w:b/>
          <w:bCs/>
          <w:color w:val="353535"/>
          <w:sz w:val="20"/>
          <w:szCs w:val="20"/>
        </w:rPr>
        <w:t>909 Davis St. Suite 500</w:t>
      </w:r>
    </w:p>
    <w:p w14:paraId="6AD59F9A" w14:textId="709B8D0D" w:rsidR="008F4B8C" w:rsidRDefault="008F4B8C" w:rsidP="000B6853">
      <w:pPr>
        <w:ind w:firstLine="1440"/>
        <w:rPr>
          <w:rFonts w:ascii="Arial" w:hAnsi="Arial" w:cs="Arial"/>
          <w:b/>
          <w:bCs/>
          <w:color w:val="353535"/>
          <w:sz w:val="20"/>
          <w:szCs w:val="20"/>
        </w:rPr>
      </w:pPr>
      <w:r w:rsidRPr="00A0514C">
        <w:rPr>
          <w:rFonts w:ascii="Arial" w:hAnsi="Arial" w:cs="Arial"/>
          <w:b/>
          <w:bCs/>
          <w:color w:val="353535"/>
          <w:sz w:val="20"/>
          <w:szCs w:val="20"/>
        </w:rPr>
        <w:t>Evanston, Il 60201</w:t>
      </w:r>
    </w:p>
    <w:p w14:paraId="52601520" w14:textId="3364B45B" w:rsidR="000B6853" w:rsidRPr="00A0514C" w:rsidRDefault="00C72CC7" w:rsidP="000B6853">
      <w:pPr>
        <w:ind w:firstLine="1440"/>
        <w:rPr>
          <w:rFonts w:ascii="Arial" w:hAnsi="Arial" w:cs="Arial"/>
          <w:b/>
          <w:bCs/>
          <w:color w:val="353535"/>
          <w:sz w:val="20"/>
          <w:szCs w:val="20"/>
        </w:rPr>
      </w:pPr>
      <w:hyperlink r:id="rId23" w:history="1">
        <w:r w:rsidR="000B6853" w:rsidRPr="00BE03FF">
          <w:rPr>
            <w:rStyle w:val="Hyperlink"/>
            <w:rFonts w:ascii="Arial" w:hAnsi="Arial" w:cs="Arial"/>
            <w:b/>
            <w:bCs/>
            <w:sz w:val="20"/>
            <w:szCs w:val="20"/>
          </w:rPr>
          <w:t>www.improvediagnosis.org</w:t>
        </w:r>
      </w:hyperlink>
      <w:r w:rsidR="000B6853">
        <w:rPr>
          <w:rFonts w:ascii="Arial" w:hAnsi="Arial" w:cs="Arial"/>
          <w:b/>
          <w:bCs/>
          <w:color w:val="353535"/>
          <w:sz w:val="20"/>
          <w:szCs w:val="20"/>
        </w:rPr>
        <w:t xml:space="preserve"> </w:t>
      </w:r>
    </w:p>
    <w:p w14:paraId="0FCA539F" w14:textId="3CAB0135" w:rsidR="008F4B8C" w:rsidRPr="008F4B8C" w:rsidRDefault="000B6853" w:rsidP="000B6853">
      <w:pPr>
        <w:ind w:firstLine="1440"/>
        <w:rPr>
          <w:rFonts w:ascii="Arial" w:hAnsi="Arial" w:cs="Arial"/>
          <w:i/>
          <w:iCs/>
          <w:color w:val="29325E"/>
          <w:sz w:val="20"/>
          <w:szCs w:val="20"/>
        </w:rPr>
      </w:pPr>
      <w:r w:rsidRPr="000B6853">
        <w:rPr>
          <w:rFonts w:ascii="Arial" w:hAnsi="Arial" w:cs="Arial"/>
          <w:b/>
          <w:bCs/>
          <w:color w:val="353535"/>
          <w:sz w:val="20"/>
          <w:szCs w:val="20"/>
        </w:rPr>
        <w:t xml:space="preserve">email: </w:t>
      </w:r>
      <w:hyperlink r:id="rId24" w:history="1">
        <w:r w:rsidRPr="00BE03FF">
          <w:rPr>
            <w:rStyle w:val="Hyperlink"/>
            <w:rFonts w:ascii="Arial" w:hAnsi="Arial" w:cs="Arial"/>
            <w:b/>
            <w:bCs/>
            <w:sz w:val="20"/>
            <w:szCs w:val="20"/>
          </w:rPr>
          <w:t>info@improvediagnosis.org</w:t>
        </w:r>
      </w:hyperlink>
    </w:p>
    <w:sectPr w:rsidR="008F4B8C" w:rsidRPr="008F4B8C" w:rsidSect="00F1753B">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73BF5" w14:textId="77777777" w:rsidR="00C72CC7" w:rsidRDefault="00C72CC7" w:rsidP="00BF6BDE">
      <w:r>
        <w:separator/>
      </w:r>
    </w:p>
  </w:endnote>
  <w:endnote w:type="continuationSeparator" w:id="0">
    <w:p w14:paraId="4B59BF6D" w14:textId="77777777" w:rsidR="00C72CC7" w:rsidRDefault="00C72CC7" w:rsidP="00BF6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aleway">
    <w:altName w:val="Trebuchet MS"/>
    <w:charset w:val="00"/>
    <w:family w:val="swiss"/>
    <w:pitch w:val="variable"/>
    <w:sig w:usb0="A00000BF" w:usb1="5000005B" w:usb2="00000000" w:usb3="00000000" w:csb0="00000093" w:csb1="00000000"/>
  </w:font>
  <w:font w:name="Minion Pro">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w:altName w:val="Tahoma"/>
    <w:panose1 w:val="00000000000000000000"/>
    <w:charset w:val="00"/>
    <w:family w:val="auto"/>
    <w:notTrueType/>
    <w:pitch w:val="variable"/>
    <w:sig w:usb0="A00002EF" w:usb1="5000E0F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06753119"/>
      <w:docPartObj>
        <w:docPartGallery w:val="Page Numbers (Bottom of Page)"/>
        <w:docPartUnique/>
      </w:docPartObj>
    </w:sdtPr>
    <w:sdtEndPr>
      <w:rPr>
        <w:rStyle w:val="PageNumber"/>
      </w:rPr>
    </w:sdtEndPr>
    <w:sdtContent>
      <w:p w14:paraId="50778FBA" w14:textId="2B53C157" w:rsidR="00136280" w:rsidRDefault="00136280" w:rsidP="00534793">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CB3330" w14:textId="77777777" w:rsidR="00136280" w:rsidRDefault="00136280" w:rsidP="00136280">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74647052"/>
      <w:docPartObj>
        <w:docPartGallery w:val="Page Numbers (Bottom of Page)"/>
        <w:docPartUnique/>
      </w:docPartObj>
    </w:sdtPr>
    <w:sdtEndPr>
      <w:rPr>
        <w:rStyle w:val="PageNumber"/>
        <w:rFonts w:ascii="Arial" w:hAnsi="Arial" w:cs="Arial"/>
        <w:b/>
        <w:bCs/>
        <w:color w:val="29325E"/>
        <w:sz w:val="40"/>
        <w:szCs w:val="40"/>
      </w:rPr>
    </w:sdtEndPr>
    <w:sdtContent>
      <w:p w14:paraId="644E1ED8" w14:textId="0B952596" w:rsidR="00136280" w:rsidRPr="00136280" w:rsidRDefault="00136280" w:rsidP="0036751A">
        <w:pPr>
          <w:pStyle w:val="Footer"/>
          <w:framePr w:w="533" w:h="958" w:hRule="exact" w:wrap="none" w:vAnchor="text" w:hAnchor="page" w:x="622" w:y="-306"/>
          <w:rPr>
            <w:rStyle w:val="PageNumber"/>
            <w:rFonts w:ascii="PROXIMA NOVA" w:hAnsi="PROXIMA NOVA"/>
            <w:b/>
            <w:bCs/>
            <w:color w:val="29325E"/>
            <w:sz w:val="40"/>
            <w:szCs w:val="40"/>
          </w:rPr>
        </w:pPr>
        <w:r w:rsidRPr="00F50F2D">
          <w:rPr>
            <w:rStyle w:val="PageNumber"/>
            <w:rFonts w:ascii="Arial" w:hAnsi="Arial" w:cs="Arial"/>
            <w:b/>
            <w:bCs/>
            <w:color w:val="29325E"/>
            <w:sz w:val="40"/>
            <w:szCs w:val="40"/>
          </w:rPr>
          <w:fldChar w:fldCharType="begin"/>
        </w:r>
        <w:r w:rsidRPr="00F50F2D">
          <w:rPr>
            <w:rStyle w:val="PageNumber"/>
            <w:rFonts w:ascii="Arial" w:hAnsi="Arial" w:cs="Arial"/>
            <w:b/>
            <w:bCs/>
            <w:color w:val="29325E"/>
            <w:sz w:val="40"/>
            <w:szCs w:val="40"/>
          </w:rPr>
          <w:instrText xml:space="preserve"> PAGE </w:instrText>
        </w:r>
        <w:r w:rsidRPr="00F50F2D">
          <w:rPr>
            <w:rStyle w:val="PageNumber"/>
            <w:rFonts w:ascii="Arial" w:hAnsi="Arial" w:cs="Arial"/>
            <w:b/>
            <w:bCs/>
            <w:color w:val="29325E"/>
            <w:sz w:val="40"/>
            <w:szCs w:val="40"/>
          </w:rPr>
          <w:fldChar w:fldCharType="separate"/>
        </w:r>
        <w:r w:rsidRPr="00F50F2D">
          <w:rPr>
            <w:rStyle w:val="PageNumber"/>
            <w:rFonts w:ascii="Arial" w:hAnsi="Arial" w:cs="Arial"/>
            <w:b/>
            <w:bCs/>
            <w:noProof/>
            <w:color w:val="29325E"/>
            <w:sz w:val="40"/>
            <w:szCs w:val="40"/>
          </w:rPr>
          <w:t>2</w:t>
        </w:r>
        <w:r w:rsidRPr="00F50F2D">
          <w:rPr>
            <w:rStyle w:val="PageNumber"/>
            <w:rFonts w:ascii="Arial" w:hAnsi="Arial" w:cs="Arial"/>
            <w:b/>
            <w:bCs/>
            <w:color w:val="29325E"/>
            <w:sz w:val="40"/>
            <w:szCs w:val="40"/>
          </w:rPr>
          <w:fldChar w:fldCharType="end"/>
        </w:r>
      </w:p>
    </w:sdtContent>
  </w:sdt>
  <w:p w14:paraId="687B7BED" w14:textId="77777777" w:rsidR="00136280" w:rsidRDefault="00136280" w:rsidP="00EA41B8">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9310349"/>
      <w:docPartObj>
        <w:docPartGallery w:val="Page Numbers (Bottom of Page)"/>
        <w:docPartUnique/>
      </w:docPartObj>
    </w:sdtPr>
    <w:sdtEndPr>
      <w:rPr>
        <w:rStyle w:val="PageNumber"/>
        <w:rFonts w:ascii="Arial" w:hAnsi="Arial" w:cs="Arial"/>
        <w:b/>
        <w:bCs/>
        <w:color w:val="29325E"/>
        <w:sz w:val="40"/>
        <w:szCs w:val="40"/>
      </w:rPr>
    </w:sdtEndPr>
    <w:sdtContent>
      <w:p w14:paraId="575EF774" w14:textId="77777777" w:rsidR="00136280" w:rsidRPr="00F50F2D" w:rsidRDefault="00136280" w:rsidP="00136280">
        <w:pPr>
          <w:pStyle w:val="Footer"/>
          <w:framePr w:w="348" w:h="958" w:hRule="exact" w:wrap="none" w:vAnchor="text" w:hAnchor="page" w:x="647" w:y="-401"/>
          <w:rPr>
            <w:rStyle w:val="PageNumber"/>
            <w:rFonts w:ascii="Arial" w:hAnsi="Arial" w:cs="Arial"/>
            <w:b/>
            <w:bCs/>
            <w:color w:val="29325E"/>
            <w:sz w:val="40"/>
            <w:szCs w:val="40"/>
          </w:rPr>
        </w:pPr>
        <w:r w:rsidRPr="00F50F2D">
          <w:rPr>
            <w:rStyle w:val="PageNumber"/>
            <w:rFonts w:ascii="Arial" w:hAnsi="Arial" w:cs="Arial"/>
            <w:b/>
            <w:bCs/>
            <w:color w:val="29325E"/>
            <w:sz w:val="40"/>
            <w:szCs w:val="40"/>
          </w:rPr>
          <w:fldChar w:fldCharType="begin"/>
        </w:r>
        <w:r w:rsidRPr="00F50F2D">
          <w:rPr>
            <w:rStyle w:val="PageNumber"/>
            <w:rFonts w:ascii="Arial" w:hAnsi="Arial" w:cs="Arial"/>
            <w:b/>
            <w:bCs/>
            <w:color w:val="29325E"/>
            <w:sz w:val="40"/>
            <w:szCs w:val="40"/>
          </w:rPr>
          <w:instrText xml:space="preserve"> PAGE </w:instrText>
        </w:r>
        <w:r w:rsidRPr="00F50F2D">
          <w:rPr>
            <w:rStyle w:val="PageNumber"/>
            <w:rFonts w:ascii="Arial" w:hAnsi="Arial" w:cs="Arial"/>
            <w:b/>
            <w:bCs/>
            <w:color w:val="29325E"/>
            <w:sz w:val="40"/>
            <w:szCs w:val="40"/>
          </w:rPr>
          <w:fldChar w:fldCharType="separate"/>
        </w:r>
        <w:r w:rsidRPr="00F50F2D">
          <w:rPr>
            <w:rStyle w:val="PageNumber"/>
            <w:rFonts w:ascii="Arial" w:hAnsi="Arial" w:cs="Arial"/>
            <w:b/>
            <w:bCs/>
            <w:color w:val="29325E"/>
            <w:sz w:val="40"/>
            <w:szCs w:val="40"/>
          </w:rPr>
          <w:t>2</w:t>
        </w:r>
        <w:r w:rsidRPr="00F50F2D">
          <w:rPr>
            <w:rStyle w:val="PageNumber"/>
            <w:rFonts w:ascii="Arial" w:hAnsi="Arial" w:cs="Arial"/>
            <w:b/>
            <w:bCs/>
            <w:color w:val="29325E"/>
            <w:sz w:val="40"/>
            <w:szCs w:val="40"/>
          </w:rPr>
          <w:fldChar w:fldCharType="end"/>
        </w:r>
      </w:p>
    </w:sdtContent>
  </w:sdt>
  <w:p w14:paraId="790E4965" w14:textId="3532580A" w:rsidR="00136280" w:rsidRDefault="001362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23C1E" w14:textId="77777777" w:rsidR="00C72CC7" w:rsidRDefault="00C72CC7" w:rsidP="00BF6BDE">
      <w:r>
        <w:separator/>
      </w:r>
    </w:p>
  </w:footnote>
  <w:footnote w:type="continuationSeparator" w:id="0">
    <w:p w14:paraId="5F7344A3" w14:textId="77777777" w:rsidR="00C72CC7" w:rsidRDefault="00C72CC7" w:rsidP="00BF6B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84B50" w14:textId="1326BAC2" w:rsidR="00BF6BDE" w:rsidRDefault="00BF6BDE">
    <w:pPr>
      <w:pStyle w:val="Header"/>
    </w:pPr>
    <w:r>
      <w:rPr>
        <w:noProof/>
      </w:rPr>
      <w:drawing>
        <wp:anchor distT="0" distB="0" distL="114300" distR="114300" simplePos="0" relativeHeight="251659264" behindDoc="1" locked="0" layoutInCell="1" allowOverlap="1" wp14:anchorId="4FD765BD" wp14:editId="08144F3D">
          <wp:simplePos x="0" y="0"/>
          <wp:positionH relativeFrom="column">
            <wp:posOffset>-914400</wp:posOffset>
          </wp:positionH>
          <wp:positionV relativeFrom="paragraph">
            <wp:posOffset>-457200</wp:posOffset>
          </wp:positionV>
          <wp:extent cx="7818755" cy="10052445"/>
          <wp:effectExtent l="0" t="0" r="4445"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818755" cy="1005244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5B9C6" w14:textId="4021CC5D" w:rsidR="00BF6BDE" w:rsidRDefault="00136280">
    <w:pPr>
      <w:pStyle w:val="Header"/>
    </w:pPr>
    <w:r>
      <w:rPr>
        <w:noProof/>
      </w:rPr>
      <w:drawing>
        <wp:anchor distT="0" distB="0" distL="114300" distR="114300" simplePos="0" relativeHeight="251658240" behindDoc="1" locked="0" layoutInCell="1" allowOverlap="1" wp14:anchorId="7696794A" wp14:editId="5DCD3CB2">
          <wp:simplePos x="0" y="0"/>
          <wp:positionH relativeFrom="column">
            <wp:posOffset>-914400</wp:posOffset>
          </wp:positionH>
          <wp:positionV relativeFrom="paragraph">
            <wp:posOffset>-457200</wp:posOffset>
          </wp:positionV>
          <wp:extent cx="7823386" cy="10058400"/>
          <wp:effectExtent l="0" t="0" r="0" b="0"/>
          <wp:wrapNone/>
          <wp:docPr id="20" name="Picture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23386"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BF7730"/>
    <w:multiLevelType w:val="hybridMultilevel"/>
    <w:tmpl w:val="6B144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BDE"/>
    <w:rsid w:val="000468B2"/>
    <w:rsid w:val="00061C56"/>
    <w:rsid w:val="00063CA9"/>
    <w:rsid w:val="000B6853"/>
    <w:rsid w:val="000C0382"/>
    <w:rsid w:val="0013084C"/>
    <w:rsid w:val="00136280"/>
    <w:rsid w:val="00153D64"/>
    <w:rsid w:val="0018091E"/>
    <w:rsid w:val="001A154D"/>
    <w:rsid w:val="001E13D8"/>
    <w:rsid w:val="001E351D"/>
    <w:rsid w:val="001F52FC"/>
    <w:rsid w:val="00255B76"/>
    <w:rsid w:val="00267760"/>
    <w:rsid w:val="00274656"/>
    <w:rsid w:val="002805D0"/>
    <w:rsid w:val="00313099"/>
    <w:rsid w:val="00317507"/>
    <w:rsid w:val="003262A0"/>
    <w:rsid w:val="003316A4"/>
    <w:rsid w:val="00354E3D"/>
    <w:rsid w:val="00361036"/>
    <w:rsid w:val="00363746"/>
    <w:rsid w:val="0036751A"/>
    <w:rsid w:val="003B4CD4"/>
    <w:rsid w:val="003D1470"/>
    <w:rsid w:val="003E284D"/>
    <w:rsid w:val="00415F6C"/>
    <w:rsid w:val="00436F25"/>
    <w:rsid w:val="00441FA1"/>
    <w:rsid w:val="00484023"/>
    <w:rsid w:val="004D6704"/>
    <w:rsid w:val="005159F5"/>
    <w:rsid w:val="005C74FC"/>
    <w:rsid w:val="006301C5"/>
    <w:rsid w:val="00686688"/>
    <w:rsid w:val="006C4F8D"/>
    <w:rsid w:val="006E37AC"/>
    <w:rsid w:val="00715C9E"/>
    <w:rsid w:val="00737E1C"/>
    <w:rsid w:val="00763091"/>
    <w:rsid w:val="007646B5"/>
    <w:rsid w:val="0077401B"/>
    <w:rsid w:val="008017D2"/>
    <w:rsid w:val="00827EFC"/>
    <w:rsid w:val="008558D1"/>
    <w:rsid w:val="008751F5"/>
    <w:rsid w:val="00884EFD"/>
    <w:rsid w:val="00897D24"/>
    <w:rsid w:val="008E5635"/>
    <w:rsid w:val="008E7C3B"/>
    <w:rsid w:val="008F4B8C"/>
    <w:rsid w:val="009167AA"/>
    <w:rsid w:val="00970D75"/>
    <w:rsid w:val="009A1284"/>
    <w:rsid w:val="009D01B7"/>
    <w:rsid w:val="00A04859"/>
    <w:rsid w:val="00A43D67"/>
    <w:rsid w:val="00A63FB2"/>
    <w:rsid w:val="00A65A09"/>
    <w:rsid w:val="00A66BAA"/>
    <w:rsid w:val="00AD4FDE"/>
    <w:rsid w:val="00B2067D"/>
    <w:rsid w:val="00B328E9"/>
    <w:rsid w:val="00BF6BDE"/>
    <w:rsid w:val="00C324FF"/>
    <w:rsid w:val="00C72CC7"/>
    <w:rsid w:val="00D54F87"/>
    <w:rsid w:val="00D7101F"/>
    <w:rsid w:val="00D74CB6"/>
    <w:rsid w:val="00DC32BF"/>
    <w:rsid w:val="00DC7032"/>
    <w:rsid w:val="00E7235D"/>
    <w:rsid w:val="00E96A10"/>
    <w:rsid w:val="00EA41B8"/>
    <w:rsid w:val="00EB0C18"/>
    <w:rsid w:val="00F1753B"/>
    <w:rsid w:val="00F37061"/>
    <w:rsid w:val="00F50F2D"/>
    <w:rsid w:val="00F6702B"/>
    <w:rsid w:val="00F75658"/>
    <w:rsid w:val="00FA75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D40F73"/>
  <w15:chartTrackingRefBased/>
  <w15:docId w15:val="{09B4A6C2-6F97-EB44-B436-B76F5137F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6F2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6BDE"/>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BF6BDE"/>
  </w:style>
  <w:style w:type="paragraph" w:styleId="Footer">
    <w:name w:val="footer"/>
    <w:basedOn w:val="Normal"/>
    <w:link w:val="FooterChar"/>
    <w:uiPriority w:val="99"/>
    <w:unhideWhenUsed/>
    <w:rsid w:val="00BF6BDE"/>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BF6BDE"/>
  </w:style>
  <w:style w:type="paragraph" w:customStyle="1" w:styleId="callout">
    <w:name w:val="callout"/>
    <w:basedOn w:val="Normal"/>
    <w:uiPriority w:val="99"/>
    <w:rsid w:val="00BF6BDE"/>
    <w:pPr>
      <w:suppressAutoHyphens/>
      <w:autoSpaceDE w:val="0"/>
      <w:autoSpaceDN w:val="0"/>
      <w:adjustRightInd w:val="0"/>
      <w:spacing w:after="180" w:line="288" w:lineRule="auto"/>
      <w:jc w:val="center"/>
      <w:textAlignment w:val="center"/>
    </w:pPr>
    <w:rPr>
      <w:rFonts w:ascii="Raleway" w:eastAsiaTheme="minorHAnsi" w:hAnsi="Raleway" w:cs="Raleway"/>
      <w:b/>
      <w:bCs/>
      <w:i/>
      <w:iCs/>
      <w:color w:val="B79E38"/>
      <w:sz w:val="46"/>
      <w:szCs w:val="46"/>
    </w:rPr>
  </w:style>
  <w:style w:type="paragraph" w:customStyle="1" w:styleId="body">
    <w:name w:val="body"/>
    <w:basedOn w:val="Normal"/>
    <w:uiPriority w:val="99"/>
    <w:rsid w:val="00BF6BDE"/>
    <w:pPr>
      <w:suppressAutoHyphens/>
      <w:autoSpaceDE w:val="0"/>
      <w:autoSpaceDN w:val="0"/>
      <w:adjustRightInd w:val="0"/>
      <w:spacing w:after="180" w:line="288" w:lineRule="auto"/>
      <w:textAlignment w:val="center"/>
    </w:pPr>
    <w:rPr>
      <w:rFonts w:ascii="Raleway" w:eastAsiaTheme="minorHAnsi" w:hAnsi="Raleway" w:cs="Raleway"/>
      <w:color w:val="000000"/>
    </w:rPr>
  </w:style>
  <w:style w:type="paragraph" w:customStyle="1" w:styleId="BasicParagraph">
    <w:name w:val="[Basic Paragraph]"/>
    <w:basedOn w:val="Normal"/>
    <w:uiPriority w:val="99"/>
    <w:rsid w:val="00BF6BDE"/>
    <w:pPr>
      <w:autoSpaceDE w:val="0"/>
      <w:autoSpaceDN w:val="0"/>
      <w:adjustRightInd w:val="0"/>
      <w:spacing w:line="288" w:lineRule="auto"/>
      <w:textAlignment w:val="center"/>
    </w:pPr>
    <w:rPr>
      <w:rFonts w:ascii="Minion Pro" w:eastAsiaTheme="minorHAnsi" w:hAnsi="Minion Pro" w:cs="Minion Pro"/>
      <w:color w:val="000000"/>
    </w:rPr>
  </w:style>
  <w:style w:type="character" w:styleId="PageNumber">
    <w:name w:val="page number"/>
    <w:basedOn w:val="DefaultParagraphFont"/>
    <w:uiPriority w:val="99"/>
    <w:semiHidden/>
    <w:unhideWhenUsed/>
    <w:rsid w:val="00136280"/>
  </w:style>
  <w:style w:type="paragraph" w:styleId="BalloonText">
    <w:name w:val="Balloon Text"/>
    <w:basedOn w:val="Normal"/>
    <w:link w:val="BalloonTextChar"/>
    <w:uiPriority w:val="99"/>
    <w:semiHidden/>
    <w:unhideWhenUsed/>
    <w:rsid w:val="008017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17D2"/>
    <w:rPr>
      <w:rFonts w:ascii="Segoe UI" w:eastAsia="Times New Roman" w:hAnsi="Segoe UI" w:cs="Segoe UI"/>
      <w:sz w:val="18"/>
      <w:szCs w:val="18"/>
    </w:rPr>
  </w:style>
  <w:style w:type="paragraph" w:customStyle="1" w:styleId="EndNoteBibliography">
    <w:name w:val="EndNote Bibliography"/>
    <w:basedOn w:val="Normal"/>
    <w:link w:val="EndNoteBibliographyChar"/>
    <w:rsid w:val="00A65A09"/>
    <w:rPr>
      <w:rFonts w:ascii="Calibri" w:eastAsiaTheme="minorHAnsi" w:hAnsi="Calibri" w:cs="Calibri"/>
    </w:rPr>
  </w:style>
  <w:style w:type="character" w:customStyle="1" w:styleId="EndNoteBibliographyChar">
    <w:name w:val="EndNote Bibliography Char"/>
    <w:basedOn w:val="DefaultParagraphFont"/>
    <w:link w:val="EndNoteBibliography"/>
    <w:rsid w:val="00A65A09"/>
    <w:rPr>
      <w:rFonts w:ascii="Calibri" w:hAnsi="Calibri" w:cs="Calibri"/>
    </w:rPr>
  </w:style>
  <w:style w:type="character" w:styleId="CommentReference">
    <w:name w:val="annotation reference"/>
    <w:basedOn w:val="DefaultParagraphFont"/>
    <w:uiPriority w:val="99"/>
    <w:semiHidden/>
    <w:unhideWhenUsed/>
    <w:rsid w:val="00A65A09"/>
    <w:rPr>
      <w:sz w:val="16"/>
      <w:szCs w:val="16"/>
    </w:rPr>
  </w:style>
  <w:style w:type="paragraph" w:styleId="CommentText">
    <w:name w:val="annotation text"/>
    <w:basedOn w:val="Normal"/>
    <w:link w:val="CommentTextChar"/>
    <w:uiPriority w:val="99"/>
    <w:semiHidden/>
    <w:unhideWhenUsed/>
    <w:rsid w:val="00A65A09"/>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A65A09"/>
    <w:rPr>
      <w:sz w:val="20"/>
      <w:szCs w:val="20"/>
    </w:rPr>
  </w:style>
  <w:style w:type="paragraph" w:styleId="CommentSubject">
    <w:name w:val="annotation subject"/>
    <w:basedOn w:val="CommentText"/>
    <w:next w:val="CommentText"/>
    <w:link w:val="CommentSubjectChar"/>
    <w:uiPriority w:val="99"/>
    <w:semiHidden/>
    <w:unhideWhenUsed/>
    <w:rsid w:val="00A65A09"/>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A65A09"/>
    <w:rPr>
      <w:rFonts w:ascii="Times New Roman" w:eastAsia="Times New Roman" w:hAnsi="Times New Roman" w:cs="Times New Roman"/>
      <w:b/>
      <w:bCs/>
      <w:sz w:val="20"/>
      <w:szCs w:val="20"/>
    </w:rPr>
  </w:style>
  <w:style w:type="character" w:styleId="Emphasis">
    <w:name w:val="Emphasis"/>
    <w:basedOn w:val="DefaultParagraphFont"/>
    <w:uiPriority w:val="20"/>
    <w:qFormat/>
    <w:rsid w:val="00A63FB2"/>
    <w:rPr>
      <w:i/>
      <w:iCs/>
    </w:rPr>
  </w:style>
  <w:style w:type="character" w:styleId="Hyperlink">
    <w:name w:val="Hyperlink"/>
    <w:basedOn w:val="DefaultParagraphFont"/>
    <w:uiPriority w:val="99"/>
    <w:unhideWhenUsed/>
    <w:rsid w:val="00A63FB2"/>
    <w:rPr>
      <w:color w:val="0000FF"/>
      <w:u w:val="single"/>
    </w:rPr>
  </w:style>
  <w:style w:type="character" w:styleId="UnresolvedMention">
    <w:name w:val="Unresolved Mention"/>
    <w:basedOn w:val="DefaultParagraphFont"/>
    <w:uiPriority w:val="99"/>
    <w:semiHidden/>
    <w:unhideWhenUsed/>
    <w:rsid w:val="000B6853"/>
    <w:rPr>
      <w:color w:val="605E5C"/>
      <w:shd w:val="clear" w:color="auto" w:fill="E1DFDD"/>
    </w:rPr>
  </w:style>
  <w:style w:type="paragraph" w:styleId="ListParagraph">
    <w:name w:val="List Paragraph"/>
    <w:basedOn w:val="Normal"/>
    <w:uiPriority w:val="34"/>
    <w:qFormat/>
    <w:rsid w:val="00F75658"/>
    <w:pPr>
      <w:ind w:left="720"/>
      <w:contextualSpacing/>
    </w:pPr>
    <w:rPr>
      <w:rFonts w:asciiTheme="minorHAnsi" w:eastAsiaTheme="minorHAnsi" w:hAnsiTheme="minorHAnsi" w:cstheme="minorBidi"/>
    </w:rPr>
  </w:style>
  <w:style w:type="character" w:styleId="FollowedHyperlink">
    <w:name w:val="FollowedHyperlink"/>
    <w:basedOn w:val="DefaultParagraphFont"/>
    <w:uiPriority w:val="99"/>
    <w:semiHidden/>
    <w:unhideWhenUsed/>
    <w:rsid w:val="00063CA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08491">
      <w:bodyDiv w:val="1"/>
      <w:marLeft w:val="0"/>
      <w:marRight w:val="0"/>
      <w:marTop w:val="0"/>
      <w:marBottom w:val="0"/>
      <w:divBdr>
        <w:top w:val="none" w:sz="0" w:space="0" w:color="auto"/>
        <w:left w:val="none" w:sz="0" w:space="0" w:color="auto"/>
        <w:bottom w:val="none" w:sz="0" w:space="0" w:color="auto"/>
        <w:right w:val="none" w:sz="0" w:space="0" w:color="auto"/>
      </w:divBdr>
    </w:div>
    <w:div w:id="71703300">
      <w:bodyDiv w:val="1"/>
      <w:marLeft w:val="0"/>
      <w:marRight w:val="0"/>
      <w:marTop w:val="0"/>
      <w:marBottom w:val="0"/>
      <w:divBdr>
        <w:top w:val="none" w:sz="0" w:space="0" w:color="auto"/>
        <w:left w:val="none" w:sz="0" w:space="0" w:color="auto"/>
        <w:bottom w:val="none" w:sz="0" w:space="0" w:color="auto"/>
        <w:right w:val="none" w:sz="0" w:space="0" w:color="auto"/>
      </w:divBdr>
      <w:divsChild>
        <w:div w:id="1800567323">
          <w:marLeft w:val="0"/>
          <w:marRight w:val="0"/>
          <w:marTop w:val="0"/>
          <w:marBottom w:val="0"/>
          <w:divBdr>
            <w:top w:val="none" w:sz="0" w:space="0" w:color="auto"/>
            <w:left w:val="none" w:sz="0" w:space="0" w:color="auto"/>
            <w:bottom w:val="none" w:sz="0" w:space="0" w:color="auto"/>
            <w:right w:val="none" w:sz="0" w:space="0" w:color="auto"/>
          </w:divBdr>
        </w:div>
      </w:divsChild>
    </w:div>
    <w:div w:id="183985679">
      <w:bodyDiv w:val="1"/>
      <w:marLeft w:val="0"/>
      <w:marRight w:val="0"/>
      <w:marTop w:val="0"/>
      <w:marBottom w:val="0"/>
      <w:divBdr>
        <w:top w:val="none" w:sz="0" w:space="0" w:color="auto"/>
        <w:left w:val="none" w:sz="0" w:space="0" w:color="auto"/>
        <w:bottom w:val="none" w:sz="0" w:space="0" w:color="auto"/>
        <w:right w:val="none" w:sz="0" w:space="0" w:color="auto"/>
      </w:divBdr>
      <w:divsChild>
        <w:div w:id="1460103784">
          <w:marLeft w:val="0"/>
          <w:marRight w:val="0"/>
          <w:marTop w:val="0"/>
          <w:marBottom w:val="0"/>
          <w:divBdr>
            <w:top w:val="none" w:sz="0" w:space="0" w:color="auto"/>
            <w:left w:val="none" w:sz="0" w:space="0" w:color="auto"/>
            <w:bottom w:val="none" w:sz="0" w:space="0" w:color="auto"/>
            <w:right w:val="none" w:sz="0" w:space="0" w:color="auto"/>
          </w:divBdr>
        </w:div>
        <w:div w:id="1063721886">
          <w:marLeft w:val="0"/>
          <w:marRight w:val="0"/>
          <w:marTop w:val="0"/>
          <w:marBottom w:val="0"/>
          <w:divBdr>
            <w:top w:val="none" w:sz="0" w:space="0" w:color="auto"/>
            <w:left w:val="none" w:sz="0" w:space="0" w:color="auto"/>
            <w:bottom w:val="none" w:sz="0" w:space="0" w:color="auto"/>
            <w:right w:val="none" w:sz="0" w:space="0" w:color="auto"/>
          </w:divBdr>
        </w:div>
        <w:div w:id="12853157">
          <w:marLeft w:val="0"/>
          <w:marRight w:val="0"/>
          <w:marTop w:val="0"/>
          <w:marBottom w:val="0"/>
          <w:divBdr>
            <w:top w:val="none" w:sz="0" w:space="0" w:color="auto"/>
            <w:left w:val="none" w:sz="0" w:space="0" w:color="auto"/>
            <w:bottom w:val="none" w:sz="0" w:space="0" w:color="auto"/>
            <w:right w:val="none" w:sz="0" w:space="0" w:color="auto"/>
          </w:divBdr>
        </w:div>
      </w:divsChild>
    </w:div>
    <w:div w:id="208616721">
      <w:bodyDiv w:val="1"/>
      <w:marLeft w:val="0"/>
      <w:marRight w:val="0"/>
      <w:marTop w:val="0"/>
      <w:marBottom w:val="0"/>
      <w:divBdr>
        <w:top w:val="none" w:sz="0" w:space="0" w:color="auto"/>
        <w:left w:val="none" w:sz="0" w:space="0" w:color="auto"/>
        <w:bottom w:val="none" w:sz="0" w:space="0" w:color="auto"/>
        <w:right w:val="none" w:sz="0" w:space="0" w:color="auto"/>
      </w:divBdr>
      <w:divsChild>
        <w:div w:id="280041891">
          <w:marLeft w:val="0"/>
          <w:marRight w:val="0"/>
          <w:marTop w:val="0"/>
          <w:marBottom w:val="0"/>
          <w:divBdr>
            <w:top w:val="none" w:sz="0" w:space="0" w:color="auto"/>
            <w:left w:val="none" w:sz="0" w:space="0" w:color="auto"/>
            <w:bottom w:val="none" w:sz="0" w:space="0" w:color="auto"/>
            <w:right w:val="none" w:sz="0" w:space="0" w:color="auto"/>
          </w:divBdr>
        </w:div>
      </w:divsChild>
    </w:div>
    <w:div w:id="439643480">
      <w:bodyDiv w:val="1"/>
      <w:marLeft w:val="0"/>
      <w:marRight w:val="0"/>
      <w:marTop w:val="0"/>
      <w:marBottom w:val="0"/>
      <w:divBdr>
        <w:top w:val="none" w:sz="0" w:space="0" w:color="auto"/>
        <w:left w:val="none" w:sz="0" w:space="0" w:color="auto"/>
        <w:bottom w:val="none" w:sz="0" w:space="0" w:color="auto"/>
        <w:right w:val="none" w:sz="0" w:space="0" w:color="auto"/>
      </w:divBdr>
      <w:divsChild>
        <w:div w:id="1248271436">
          <w:marLeft w:val="0"/>
          <w:marRight w:val="0"/>
          <w:marTop w:val="0"/>
          <w:marBottom w:val="0"/>
          <w:divBdr>
            <w:top w:val="none" w:sz="0" w:space="0" w:color="auto"/>
            <w:left w:val="none" w:sz="0" w:space="0" w:color="auto"/>
            <w:bottom w:val="none" w:sz="0" w:space="0" w:color="auto"/>
            <w:right w:val="none" w:sz="0" w:space="0" w:color="auto"/>
          </w:divBdr>
        </w:div>
        <w:div w:id="416556203">
          <w:marLeft w:val="0"/>
          <w:marRight w:val="0"/>
          <w:marTop w:val="0"/>
          <w:marBottom w:val="0"/>
          <w:divBdr>
            <w:top w:val="none" w:sz="0" w:space="0" w:color="auto"/>
            <w:left w:val="none" w:sz="0" w:space="0" w:color="auto"/>
            <w:bottom w:val="none" w:sz="0" w:space="0" w:color="auto"/>
            <w:right w:val="none" w:sz="0" w:space="0" w:color="auto"/>
          </w:divBdr>
        </w:div>
        <w:div w:id="1225019318">
          <w:marLeft w:val="0"/>
          <w:marRight w:val="0"/>
          <w:marTop w:val="0"/>
          <w:marBottom w:val="0"/>
          <w:divBdr>
            <w:top w:val="none" w:sz="0" w:space="0" w:color="auto"/>
            <w:left w:val="none" w:sz="0" w:space="0" w:color="auto"/>
            <w:bottom w:val="none" w:sz="0" w:space="0" w:color="auto"/>
            <w:right w:val="none" w:sz="0" w:space="0" w:color="auto"/>
          </w:divBdr>
        </w:div>
      </w:divsChild>
    </w:div>
    <w:div w:id="463082831">
      <w:bodyDiv w:val="1"/>
      <w:marLeft w:val="0"/>
      <w:marRight w:val="0"/>
      <w:marTop w:val="0"/>
      <w:marBottom w:val="0"/>
      <w:divBdr>
        <w:top w:val="none" w:sz="0" w:space="0" w:color="auto"/>
        <w:left w:val="none" w:sz="0" w:space="0" w:color="auto"/>
        <w:bottom w:val="none" w:sz="0" w:space="0" w:color="auto"/>
        <w:right w:val="none" w:sz="0" w:space="0" w:color="auto"/>
      </w:divBdr>
      <w:divsChild>
        <w:div w:id="255872256">
          <w:marLeft w:val="0"/>
          <w:marRight w:val="0"/>
          <w:marTop w:val="0"/>
          <w:marBottom w:val="0"/>
          <w:divBdr>
            <w:top w:val="none" w:sz="0" w:space="0" w:color="auto"/>
            <w:left w:val="none" w:sz="0" w:space="0" w:color="auto"/>
            <w:bottom w:val="none" w:sz="0" w:space="0" w:color="auto"/>
            <w:right w:val="none" w:sz="0" w:space="0" w:color="auto"/>
          </w:divBdr>
        </w:div>
        <w:div w:id="614290898">
          <w:marLeft w:val="0"/>
          <w:marRight w:val="0"/>
          <w:marTop w:val="0"/>
          <w:marBottom w:val="0"/>
          <w:divBdr>
            <w:top w:val="none" w:sz="0" w:space="0" w:color="auto"/>
            <w:left w:val="none" w:sz="0" w:space="0" w:color="auto"/>
            <w:bottom w:val="none" w:sz="0" w:space="0" w:color="auto"/>
            <w:right w:val="none" w:sz="0" w:space="0" w:color="auto"/>
          </w:divBdr>
        </w:div>
        <w:div w:id="1848858681">
          <w:marLeft w:val="0"/>
          <w:marRight w:val="0"/>
          <w:marTop w:val="0"/>
          <w:marBottom w:val="0"/>
          <w:divBdr>
            <w:top w:val="none" w:sz="0" w:space="0" w:color="auto"/>
            <w:left w:val="none" w:sz="0" w:space="0" w:color="auto"/>
            <w:bottom w:val="none" w:sz="0" w:space="0" w:color="auto"/>
            <w:right w:val="none" w:sz="0" w:space="0" w:color="auto"/>
          </w:divBdr>
        </w:div>
      </w:divsChild>
    </w:div>
    <w:div w:id="505940812">
      <w:bodyDiv w:val="1"/>
      <w:marLeft w:val="0"/>
      <w:marRight w:val="0"/>
      <w:marTop w:val="0"/>
      <w:marBottom w:val="0"/>
      <w:divBdr>
        <w:top w:val="none" w:sz="0" w:space="0" w:color="auto"/>
        <w:left w:val="none" w:sz="0" w:space="0" w:color="auto"/>
        <w:bottom w:val="none" w:sz="0" w:space="0" w:color="auto"/>
        <w:right w:val="none" w:sz="0" w:space="0" w:color="auto"/>
      </w:divBdr>
      <w:divsChild>
        <w:div w:id="214464329">
          <w:marLeft w:val="0"/>
          <w:marRight w:val="0"/>
          <w:marTop w:val="0"/>
          <w:marBottom w:val="0"/>
          <w:divBdr>
            <w:top w:val="none" w:sz="0" w:space="0" w:color="auto"/>
            <w:left w:val="none" w:sz="0" w:space="0" w:color="auto"/>
            <w:bottom w:val="none" w:sz="0" w:space="0" w:color="auto"/>
            <w:right w:val="none" w:sz="0" w:space="0" w:color="auto"/>
          </w:divBdr>
        </w:div>
        <w:div w:id="1740590659">
          <w:marLeft w:val="0"/>
          <w:marRight w:val="0"/>
          <w:marTop w:val="0"/>
          <w:marBottom w:val="0"/>
          <w:divBdr>
            <w:top w:val="none" w:sz="0" w:space="0" w:color="auto"/>
            <w:left w:val="none" w:sz="0" w:space="0" w:color="auto"/>
            <w:bottom w:val="none" w:sz="0" w:space="0" w:color="auto"/>
            <w:right w:val="none" w:sz="0" w:space="0" w:color="auto"/>
          </w:divBdr>
        </w:div>
        <w:div w:id="178932699">
          <w:marLeft w:val="0"/>
          <w:marRight w:val="0"/>
          <w:marTop w:val="0"/>
          <w:marBottom w:val="0"/>
          <w:divBdr>
            <w:top w:val="none" w:sz="0" w:space="0" w:color="auto"/>
            <w:left w:val="none" w:sz="0" w:space="0" w:color="auto"/>
            <w:bottom w:val="none" w:sz="0" w:space="0" w:color="auto"/>
            <w:right w:val="none" w:sz="0" w:space="0" w:color="auto"/>
          </w:divBdr>
        </w:div>
      </w:divsChild>
    </w:div>
    <w:div w:id="712727135">
      <w:bodyDiv w:val="1"/>
      <w:marLeft w:val="0"/>
      <w:marRight w:val="0"/>
      <w:marTop w:val="0"/>
      <w:marBottom w:val="0"/>
      <w:divBdr>
        <w:top w:val="none" w:sz="0" w:space="0" w:color="auto"/>
        <w:left w:val="none" w:sz="0" w:space="0" w:color="auto"/>
        <w:bottom w:val="none" w:sz="0" w:space="0" w:color="auto"/>
        <w:right w:val="none" w:sz="0" w:space="0" w:color="auto"/>
      </w:divBdr>
      <w:divsChild>
        <w:div w:id="42098913">
          <w:marLeft w:val="0"/>
          <w:marRight w:val="0"/>
          <w:marTop w:val="0"/>
          <w:marBottom w:val="0"/>
          <w:divBdr>
            <w:top w:val="none" w:sz="0" w:space="0" w:color="auto"/>
            <w:left w:val="none" w:sz="0" w:space="0" w:color="auto"/>
            <w:bottom w:val="none" w:sz="0" w:space="0" w:color="auto"/>
            <w:right w:val="none" w:sz="0" w:space="0" w:color="auto"/>
          </w:divBdr>
        </w:div>
      </w:divsChild>
    </w:div>
    <w:div w:id="797382777">
      <w:bodyDiv w:val="1"/>
      <w:marLeft w:val="0"/>
      <w:marRight w:val="0"/>
      <w:marTop w:val="0"/>
      <w:marBottom w:val="0"/>
      <w:divBdr>
        <w:top w:val="none" w:sz="0" w:space="0" w:color="auto"/>
        <w:left w:val="none" w:sz="0" w:space="0" w:color="auto"/>
        <w:bottom w:val="none" w:sz="0" w:space="0" w:color="auto"/>
        <w:right w:val="none" w:sz="0" w:space="0" w:color="auto"/>
      </w:divBdr>
    </w:div>
    <w:div w:id="868832160">
      <w:bodyDiv w:val="1"/>
      <w:marLeft w:val="0"/>
      <w:marRight w:val="0"/>
      <w:marTop w:val="0"/>
      <w:marBottom w:val="0"/>
      <w:divBdr>
        <w:top w:val="none" w:sz="0" w:space="0" w:color="auto"/>
        <w:left w:val="none" w:sz="0" w:space="0" w:color="auto"/>
        <w:bottom w:val="none" w:sz="0" w:space="0" w:color="auto"/>
        <w:right w:val="none" w:sz="0" w:space="0" w:color="auto"/>
      </w:divBdr>
      <w:divsChild>
        <w:div w:id="589773709">
          <w:marLeft w:val="0"/>
          <w:marRight w:val="0"/>
          <w:marTop w:val="0"/>
          <w:marBottom w:val="0"/>
          <w:divBdr>
            <w:top w:val="none" w:sz="0" w:space="0" w:color="auto"/>
            <w:left w:val="none" w:sz="0" w:space="0" w:color="auto"/>
            <w:bottom w:val="none" w:sz="0" w:space="0" w:color="auto"/>
            <w:right w:val="none" w:sz="0" w:space="0" w:color="auto"/>
          </w:divBdr>
        </w:div>
        <w:div w:id="944463059">
          <w:marLeft w:val="0"/>
          <w:marRight w:val="0"/>
          <w:marTop w:val="0"/>
          <w:marBottom w:val="0"/>
          <w:divBdr>
            <w:top w:val="none" w:sz="0" w:space="0" w:color="auto"/>
            <w:left w:val="none" w:sz="0" w:space="0" w:color="auto"/>
            <w:bottom w:val="none" w:sz="0" w:space="0" w:color="auto"/>
            <w:right w:val="none" w:sz="0" w:space="0" w:color="auto"/>
          </w:divBdr>
        </w:div>
      </w:divsChild>
    </w:div>
    <w:div w:id="883104984">
      <w:bodyDiv w:val="1"/>
      <w:marLeft w:val="0"/>
      <w:marRight w:val="0"/>
      <w:marTop w:val="0"/>
      <w:marBottom w:val="0"/>
      <w:divBdr>
        <w:top w:val="none" w:sz="0" w:space="0" w:color="auto"/>
        <w:left w:val="none" w:sz="0" w:space="0" w:color="auto"/>
        <w:bottom w:val="none" w:sz="0" w:space="0" w:color="auto"/>
        <w:right w:val="none" w:sz="0" w:space="0" w:color="auto"/>
      </w:divBdr>
      <w:divsChild>
        <w:div w:id="1267537453">
          <w:marLeft w:val="0"/>
          <w:marRight w:val="0"/>
          <w:marTop w:val="0"/>
          <w:marBottom w:val="0"/>
          <w:divBdr>
            <w:top w:val="none" w:sz="0" w:space="0" w:color="auto"/>
            <w:left w:val="none" w:sz="0" w:space="0" w:color="auto"/>
            <w:bottom w:val="none" w:sz="0" w:space="0" w:color="auto"/>
            <w:right w:val="none" w:sz="0" w:space="0" w:color="auto"/>
          </w:divBdr>
        </w:div>
        <w:div w:id="1355304480">
          <w:marLeft w:val="0"/>
          <w:marRight w:val="0"/>
          <w:marTop w:val="0"/>
          <w:marBottom w:val="0"/>
          <w:divBdr>
            <w:top w:val="none" w:sz="0" w:space="0" w:color="auto"/>
            <w:left w:val="none" w:sz="0" w:space="0" w:color="auto"/>
            <w:bottom w:val="none" w:sz="0" w:space="0" w:color="auto"/>
            <w:right w:val="none" w:sz="0" w:space="0" w:color="auto"/>
          </w:divBdr>
        </w:div>
      </w:divsChild>
    </w:div>
    <w:div w:id="1463229204">
      <w:bodyDiv w:val="1"/>
      <w:marLeft w:val="0"/>
      <w:marRight w:val="0"/>
      <w:marTop w:val="0"/>
      <w:marBottom w:val="0"/>
      <w:divBdr>
        <w:top w:val="none" w:sz="0" w:space="0" w:color="auto"/>
        <w:left w:val="none" w:sz="0" w:space="0" w:color="auto"/>
        <w:bottom w:val="none" w:sz="0" w:space="0" w:color="auto"/>
        <w:right w:val="none" w:sz="0" w:space="0" w:color="auto"/>
      </w:divBdr>
    </w:div>
    <w:div w:id="1651903029">
      <w:bodyDiv w:val="1"/>
      <w:marLeft w:val="0"/>
      <w:marRight w:val="0"/>
      <w:marTop w:val="0"/>
      <w:marBottom w:val="0"/>
      <w:divBdr>
        <w:top w:val="none" w:sz="0" w:space="0" w:color="auto"/>
        <w:left w:val="none" w:sz="0" w:space="0" w:color="auto"/>
        <w:bottom w:val="none" w:sz="0" w:space="0" w:color="auto"/>
        <w:right w:val="none" w:sz="0" w:space="0" w:color="auto"/>
      </w:divBdr>
      <w:divsChild>
        <w:div w:id="518935094">
          <w:marLeft w:val="0"/>
          <w:marRight w:val="0"/>
          <w:marTop w:val="0"/>
          <w:marBottom w:val="0"/>
          <w:divBdr>
            <w:top w:val="none" w:sz="0" w:space="0" w:color="auto"/>
            <w:left w:val="none" w:sz="0" w:space="0" w:color="auto"/>
            <w:bottom w:val="none" w:sz="0" w:space="0" w:color="auto"/>
            <w:right w:val="none" w:sz="0" w:space="0" w:color="auto"/>
          </w:divBdr>
        </w:div>
        <w:div w:id="1980919224">
          <w:marLeft w:val="0"/>
          <w:marRight w:val="0"/>
          <w:marTop w:val="0"/>
          <w:marBottom w:val="0"/>
          <w:divBdr>
            <w:top w:val="none" w:sz="0" w:space="0" w:color="auto"/>
            <w:left w:val="none" w:sz="0" w:space="0" w:color="auto"/>
            <w:bottom w:val="none" w:sz="0" w:space="0" w:color="auto"/>
            <w:right w:val="none" w:sz="0" w:space="0" w:color="auto"/>
          </w:divBdr>
        </w:div>
      </w:divsChild>
    </w:div>
    <w:div w:id="1770268636">
      <w:bodyDiv w:val="1"/>
      <w:marLeft w:val="0"/>
      <w:marRight w:val="0"/>
      <w:marTop w:val="0"/>
      <w:marBottom w:val="0"/>
      <w:divBdr>
        <w:top w:val="none" w:sz="0" w:space="0" w:color="auto"/>
        <w:left w:val="none" w:sz="0" w:space="0" w:color="auto"/>
        <w:bottom w:val="none" w:sz="0" w:space="0" w:color="auto"/>
        <w:right w:val="none" w:sz="0" w:space="0" w:color="auto"/>
      </w:divBdr>
      <w:divsChild>
        <w:div w:id="1093285430">
          <w:marLeft w:val="0"/>
          <w:marRight w:val="0"/>
          <w:marTop w:val="0"/>
          <w:marBottom w:val="0"/>
          <w:divBdr>
            <w:top w:val="none" w:sz="0" w:space="0" w:color="auto"/>
            <w:left w:val="none" w:sz="0" w:space="0" w:color="auto"/>
            <w:bottom w:val="none" w:sz="0" w:space="0" w:color="auto"/>
            <w:right w:val="none" w:sz="0" w:space="0" w:color="auto"/>
          </w:divBdr>
        </w:div>
        <w:div w:id="1565752918">
          <w:marLeft w:val="0"/>
          <w:marRight w:val="0"/>
          <w:marTop w:val="0"/>
          <w:marBottom w:val="0"/>
          <w:divBdr>
            <w:top w:val="none" w:sz="0" w:space="0" w:color="auto"/>
            <w:left w:val="none" w:sz="0" w:space="0" w:color="auto"/>
            <w:bottom w:val="none" w:sz="0" w:space="0" w:color="auto"/>
            <w:right w:val="none" w:sz="0" w:space="0" w:color="auto"/>
          </w:divBdr>
        </w:div>
        <w:div w:id="1543055616">
          <w:marLeft w:val="0"/>
          <w:marRight w:val="0"/>
          <w:marTop w:val="0"/>
          <w:marBottom w:val="0"/>
          <w:divBdr>
            <w:top w:val="none" w:sz="0" w:space="0" w:color="auto"/>
            <w:left w:val="none" w:sz="0" w:space="0" w:color="auto"/>
            <w:bottom w:val="none" w:sz="0" w:space="0" w:color="auto"/>
            <w:right w:val="none" w:sz="0" w:space="0" w:color="auto"/>
          </w:divBdr>
        </w:div>
      </w:divsChild>
    </w:div>
    <w:div w:id="1886603286">
      <w:bodyDiv w:val="1"/>
      <w:marLeft w:val="0"/>
      <w:marRight w:val="0"/>
      <w:marTop w:val="0"/>
      <w:marBottom w:val="0"/>
      <w:divBdr>
        <w:top w:val="none" w:sz="0" w:space="0" w:color="auto"/>
        <w:left w:val="none" w:sz="0" w:space="0" w:color="auto"/>
        <w:bottom w:val="none" w:sz="0" w:space="0" w:color="auto"/>
        <w:right w:val="none" w:sz="0" w:space="0" w:color="auto"/>
      </w:divBdr>
      <w:divsChild>
        <w:div w:id="1863546005">
          <w:marLeft w:val="0"/>
          <w:marRight w:val="0"/>
          <w:marTop w:val="0"/>
          <w:marBottom w:val="0"/>
          <w:divBdr>
            <w:top w:val="none" w:sz="0" w:space="0" w:color="auto"/>
            <w:left w:val="none" w:sz="0" w:space="0" w:color="auto"/>
            <w:bottom w:val="none" w:sz="0" w:space="0" w:color="auto"/>
            <w:right w:val="none" w:sz="0" w:space="0" w:color="auto"/>
          </w:divBdr>
        </w:div>
        <w:div w:id="864513448">
          <w:marLeft w:val="0"/>
          <w:marRight w:val="0"/>
          <w:marTop w:val="0"/>
          <w:marBottom w:val="0"/>
          <w:divBdr>
            <w:top w:val="none" w:sz="0" w:space="0" w:color="auto"/>
            <w:left w:val="none" w:sz="0" w:space="0" w:color="auto"/>
            <w:bottom w:val="none" w:sz="0" w:space="0" w:color="auto"/>
            <w:right w:val="none" w:sz="0" w:space="0" w:color="auto"/>
          </w:divBdr>
        </w:div>
      </w:divsChild>
    </w:div>
    <w:div w:id="1966347771">
      <w:bodyDiv w:val="1"/>
      <w:marLeft w:val="0"/>
      <w:marRight w:val="0"/>
      <w:marTop w:val="0"/>
      <w:marBottom w:val="0"/>
      <w:divBdr>
        <w:top w:val="none" w:sz="0" w:space="0" w:color="auto"/>
        <w:left w:val="none" w:sz="0" w:space="0" w:color="auto"/>
        <w:bottom w:val="none" w:sz="0" w:space="0" w:color="auto"/>
        <w:right w:val="none" w:sz="0" w:space="0" w:color="auto"/>
      </w:divBdr>
      <w:divsChild>
        <w:div w:id="2003196819">
          <w:marLeft w:val="0"/>
          <w:marRight w:val="0"/>
          <w:marTop w:val="0"/>
          <w:marBottom w:val="0"/>
          <w:divBdr>
            <w:top w:val="none" w:sz="0" w:space="0" w:color="auto"/>
            <w:left w:val="none" w:sz="0" w:space="0" w:color="auto"/>
            <w:bottom w:val="none" w:sz="0" w:space="0" w:color="auto"/>
            <w:right w:val="none" w:sz="0" w:space="0" w:color="auto"/>
          </w:divBdr>
        </w:div>
        <w:div w:id="978148046">
          <w:marLeft w:val="0"/>
          <w:marRight w:val="0"/>
          <w:marTop w:val="0"/>
          <w:marBottom w:val="0"/>
          <w:divBdr>
            <w:top w:val="none" w:sz="0" w:space="0" w:color="auto"/>
            <w:left w:val="none" w:sz="0" w:space="0" w:color="auto"/>
            <w:bottom w:val="none" w:sz="0" w:space="0" w:color="auto"/>
            <w:right w:val="none" w:sz="0" w:space="0" w:color="auto"/>
          </w:divBdr>
        </w:div>
        <w:div w:id="11376048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sciencemag.org/features/2020/11/telemedicine-takes-center-stage-era-covid-19" TargetMode="External"/><Relationship Id="rId18" Type="http://schemas.openxmlformats.org/officeDocument/2006/relationships/hyperlink" Target="https://www.medpagetoday.com/meetingcoverage/ama/89786?xid=nl_mpt_DHE_2020-11-20&amp;eun=g984329d0r&amp;utm_source=Sailthru&amp;utm_medium=email&amp;utm_campaign=Daily%20Headlines%20Top%20Cat%20HeC%20%202020-11-20&amp;utm_term=NL_Daily_DHE_dual-gmail-definition"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builtincom/healthcare-technology/how-digital-healthcare-can-reinvent-doctor-patient-relationship"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ama-assnorg/practice-management/digital/amas-return-health"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t.10.137/journal.pone.0198112" TargetMode="External"/><Relationship Id="rId20" Type="http://schemas.openxmlformats.org/officeDocument/2006/relationships/hyperlink" Target="https://www.commonwealthfund.org/publications/issue-briefs/2020/aug/telemedicine-post-pandemic-regulation"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tiff"/><Relationship Id="rId24" Type="http://schemas.openxmlformats.org/officeDocument/2006/relationships/hyperlink" Target="mailto:info@improvediagnosis.org" TargetMode="External"/><Relationship Id="rId5" Type="http://schemas.openxmlformats.org/officeDocument/2006/relationships/webSettings" Target="webSettings.xml"/><Relationship Id="rId15" Type="http://schemas.openxmlformats.org/officeDocument/2006/relationships/hyperlink" Target="https://www.beckershospitalreview.com/digital-transformation/telemedicine-tops-digital-health-funding-in-2020-at-3-2b-4-things-to-know.html" TargetMode="External"/><Relationship Id="rId23" Type="http://schemas.openxmlformats.org/officeDocument/2006/relationships/hyperlink" Target="http://www.improvediagnosis.org" TargetMode="External"/><Relationship Id="rId28" Type="http://schemas.openxmlformats.org/officeDocument/2006/relationships/header" Target="header2.xml"/><Relationship Id="rId10" Type="http://schemas.openxmlformats.org/officeDocument/2006/relationships/image" Target="media/image2.tiff"/><Relationship Id="rId19" Type="http://schemas.openxmlformats.org/officeDocument/2006/relationships/hyperlink" Target="https://www.medpagetoday.com/practicemanagement/telehealth/91461"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hyperlink" Target="https://www.forbes.com/sites/forbestechcouncil/2020/09/02/our-new-normal-the-rise-in-telemedicine-adoption-and-its-role-after-the-pandemic/?sh=6cfcdb8932c0" TargetMode="External"/><Relationship Id="rId22" Type="http://schemas.openxmlformats.org/officeDocument/2006/relationships/image" Target="media/image4.png"/><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BA98B1-060F-44ED-8F8C-DDBEE2A58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6763</Words>
  <Characters>38550</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Spiese</dc:creator>
  <cp:keywords/>
  <dc:description/>
  <cp:lastModifiedBy>Suz Schrandt</cp:lastModifiedBy>
  <cp:revision>2</cp:revision>
  <dcterms:created xsi:type="dcterms:W3CDTF">2021-07-15T13:45:00Z</dcterms:created>
  <dcterms:modified xsi:type="dcterms:W3CDTF">2021-07-15T13:45:00Z</dcterms:modified>
</cp:coreProperties>
</file>